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AC594" w14:textId="4644EB35" w:rsidR="00424928" w:rsidRPr="00B24063" w:rsidRDefault="00424928" w:rsidP="00FE1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B24063">
        <w:rPr>
          <w:rFonts w:ascii="Times New Roman" w:hAnsi="Times New Roman"/>
          <w:color w:val="000000" w:themeColor="text1"/>
        </w:rPr>
        <w:t>Załącznik</w:t>
      </w:r>
      <w:r>
        <w:rPr>
          <w:rFonts w:ascii="Times New Roman" w:hAnsi="Times New Roman"/>
          <w:color w:val="000000" w:themeColor="text1"/>
        </w:rPr>
        <w:t xml:space="preserve"> </w:t>
      </w:r>
      <w:r w:rsidRPr="00B24063">
        <w:rPr>
          <w:rFonts w:ascii="Times New Roman" w:hAnsi="Times New Roman"/>
          <w:color w:val="000000" w:themeColor="text1"/>
        </w:rPr>
        <w:t>B.52.</w:t>
      </w:r>
    </w:p>
    <w:p w14:paraId="246A8D84" w14:textId="77777777" w:rsidR="00424928" w:rsidRPr="00B24063" w:rsidRDefault="00424928" w:rsidP="00FE1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Cs w:val="20"/>
        </w:rPr>
      </w:pPr>
    </w:p>
    <w:p w14:paraId="26C3D71F" w14:textId="309080E8" w:rsidR="00424928" w:rsidRPr="008110AB" w:rsidRDefault="00424928" w:rsidP="00FE1968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110AB">
        <w:rPr>
          <w:rFonts w:ascii="Times New Roman" w:hAnsi="Times New Roman"/>
          <w:b/>
          <w:color w:val="000000" w:themeColor="text1"/>
          <w:sz w:val="28"/>
          <w:szCs w:val="28"/>
        </w:rPr>
        <w:t xml:space="preserve">LECZENIE </w:t>
      </w:r>
      <w:r w:rsidR="00D956AD" w:rsidRPr="008110AB">
        <w:rPr>
          <w:rFonts w:ascii="Times New Roman" w:hAnsi="Times New Roman"/>
          <w:b/>
          <w:color w:val="000000" w:themeColor="text1"/>
          <w:sz w:val="28"/>
          <w:szCs w:val="28"/>
        </w:rPr>
        <w:t xml:space="preserve">CHORYCH Z </w:t>
      </w:r>
      <w:r w:rsidRPr="008110AB">
        <w:rPr>
          <w:rFonts w:ascii="Times New Roman" w:hAnsi="Times New Roman"/>
          <w:b/>
          <w:color w:val="000000" w:themeColor="text1"/>
          <w:sz w:val="28"/>
          <w:szCs w:val="28"/>
        </w:rPr>
        <w:t>PŁASKONABŁONKOW</w:t>
      </w:r>
      <w:r w:rsidR="00D956AD" w:rsidRPr="008110AB">
        <w:rPr>
          <w:rFonts w:ascii="Times New Roman" w:hAnsi="Times New Roman"/>
          <w:b/>
          <w:color w:val="000000" w:themeColor="text1"/>
          <w:sz w:val="28"/>
          <w:szCs w:val="28"/>
        </w:rPr>
        <w:t>YM</w:t>
      </w:r>
      <w:r w:rsidRPr="008110A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RAK</w:t>
      </w:r>
      <w:r w:rsidR="00D956AD" w:rsidRPr="008110AB">
        <w:rPr>
          <w:rFonts w:ascii="Times New Roman" w:hAnsi="Times New Roman"/>
          <w:b/>
          <w:color w:val="000000" w:themeColor="text1"/>
          <w:sz w:val="28"/>
          <w:szCs w:val="28"/>
        </w:rPr>
        <w:t>IEM</w:t>
      </w:r>
      <w:r w:rsidRPr="008110A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NARZĄDÓW GŁOWY I SZYI </w:t>
      </w:r>
      <w:r w:rsidR="00D956AD" w:rsidRPr="008110AB">
        <w:rPr>
          <w:rFonts w:ascii="Times New Roman" w:hAnsi="Times New Roman"/>
          <w:b/>
          <w:color w:val="000000" w:themeColor="text1"/>
          <w:sz w:val="28"/>
          <w:szCs w:val="28"/>
        </w:rPr>
        <w:t>(ICD-10 C01, C02, C03, C04, C05, C06, C09, C10, C12, C13, C14, C32)</w:t>
      </w:r>
      <w:r w:rsidR="002A7D69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CD6DAD">
        <w:rPr>
          <w:rFonts w:ascii="Times New Roman" w:hAnsi="Times New Roman"/>
          <w:b/>
          <w:color w:val="000000" w:themeColor="text1"/>
          <w:sz w:val="28"/>
          <w:szCs w:val="28"/>
        </w:rPr>
        <w:t>LUB</w:t>
      </w:r>
      <w:r w:rsidR="00CD6DAD" w:rsidRPr="007876A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9A3D4F" w:rsidRPr="007876A0">
        <w:rPr>
          <w:rFonts w:ascii="Times New Roman" w:hAnsi="Times New Roman"/>
          <w:b/>
          <w:color w:val="000000" w:themeColor="text1"/>
          <w:sz w:val="28"/>
          <w:szCs w:val="28"/>
        </w:rPr>
        <w:t>NOWOTWOREM ZŁOŚLIWYM CZĘŚCI NOSOWEJ GARDŁA (ICD-10 C11)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1"/>
        <w:gridCol w:w="4113"/>
        <w:gridCol w:w="5608"/>
      </w:tblGrid>
      <w:tr w:rsidR="00B24063" w:rsidRPr="00BB0ECD" w14:paraId="195CB6F4" w14:textId="77777777" w:rsidTr="00DA214C">
        <w:trPr>
          <w:trHeight w:val="567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8038C" w14:textId="479C4BA5" w:rsidR="00E93A7F" w:rsidRPr="00BB0ECD" w:rsidRDefault="00E93A7F" w:rsidP="003C7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0EC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ZAKRES</w:t>
            </w:r>
            <w:r w:rsidR="00424928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B0EC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ŚWIADCZENIA</w:t>
            </w:r>
            <w:r w:rsidR="00424928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B0EC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GWARANTOWANEGO</w:t>
            </w:r>
          </w:p>
        </w:tc>
      </w:tr>
      <w:tr w:rsidR="00B24063" w:rsidRPr="00BB0ECD" w14:paraId="15957D11" w14:textId="77777777" w:rsidTr="003409BE">
        <w:trPr>
          <w:trHeight w:val="567"/>
        </w:trPr>
        <w:tc>
          <w:tcPr>
            <w:tcW w:w="18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35EBF" w14:textId="77777777" w:rsidR="00E93A7F" w:rsidRPr="00BB0ECD" w:rsidRDefault="00E93A7F" w:rsidP="003C7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0EC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ŚWIADCZENIOBIORCY</w:t>
            </w:r>
          </w:p>
        </w:tc>
        <w:tc>
          <w:tcPr>
            <w:tcW w:w="13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69063" w14:textId="4A997176" w:rsidR="00E93A7F" w:rsidRPr="00BB0ECD" w:rsidRDefault="00E93A7F" w:rsidP="003C7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0EC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SCHEMAT</w:t>
            </w:r>
            <w:r w:rsidR="00424928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B0EC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DAWKOWANIA</w:t>
            </w:r>
            <w:r w:rsidR="00424928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B0EC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LEKÓW</w:t>
            </w:r>
            <w:r w:rsidR="00424928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55D5A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BB0EC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424928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B0EC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PROGRAMIE</w:t>
            </w:r>
          </w:p>
        </w:tc>
        <w:tc>
          <w:tcPr>
            <w:tcW w:w="1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E1F5A" w14:textId="7BA2AA29" w:rsidR="00E93A7F" w:rsidRPr="00BB0ECD" w:rsidRDefault="00E93A7F" w:rsidP="003C7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B0EC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BADANIA</w:t>
            </w:r>
            <w:r w:rsidR="00424928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B0EC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DIAGNOSTYCZNE</w:t>
            </w:r>
            <w:r w:rsidR="00424928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B0EC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WYKONYWANE</w:t>
            </w:r>
            <w:r w:rsidR="00424928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55D5A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BB0EC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424928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B0EC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RAMACH</w:t>
            </w:r>
            <w:r w:rsidR="00424928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BB0EC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PROGRAMU</w:t>
            </w:r>
          </w:p>
        </w:tc>
      </w:tr>
      <w:tr w:rsidR="00566DE4" w:rsidRPr="00BB0ECD" w14:paraId="651EDC64" w14:textId="77777777" w:rsidTr="00566DE4">
        <w:trPr>
          <w:trHeight w:val="567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46337" w14:textId="3631A156" w:rsidR="00566DE4" w:rsidRPr="001831B8" w:rsidRDefault="002A7D69" w:rsidP="000379C2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ind w:left="67" w:firstLine="0"/>
              <w:contextualSpacing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1831B8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LECZENIE CHORYCH Z PŁASKONABŁONKOWYM RAKIEM NARZĄDÓW GŁOWY I SZYI</w:t>
            </w:r>
            <w:r w:rsidR="00FF304D" w:rsidRPr="001831B8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(ICD-10 C01, C02, C03, C04, C05, C06, C09, C10, C12, C13, C14, C32)</w:t>
            </w:r>
          </w:p>
        </w:tc>
      </w:tr>
      <w:tr w:rsidR="00E93A7F" w:rsidRPr="00B24063" w14:paraId="482F3F69" w14:textId="77777777" w:rsidTr="004A2806">
        <w:trPr>
          <w:trHeight w:val="2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B9158F2" w14:textId="2D195012" w:rsidR="004C7D52" w:rsidRPr="00276803" w:rsidRDefault="004C7D52" w:rsidP="002B5084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60"/>
              <w:contextualSpacing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276803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Pembrolizumab w leczeniu płaskonabłonkowego raka jamy ustnej, gardła lub krtani </w:t>
            </w:r>
          </w:p>
          <w:p w14:paraId="5BB49612" w14:textId="77777777" w:rsidR="00F019C2" w:rsidRPr="005A3BF4" w:rsidRDefault="00F019C2" w:rsidP="002B5084">
            <w:pPr>
              <w:pStyle w:val="Akapitzlist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Leczenie </w:t>
            </w:r>
            <w:r w:rsidRPr="009430CE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  <w:t>pembrolizumabem</w:t>
            </w:r>
            <w:r w:rsidRPr="005A3BF4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 dorosłych pacjentów z rozpoznaniem płaskonabłonkowego raka narządów głowy i szyi:</w:t>
            </w:r>
          </w:p>
          <w:p w14:paraId="19385169" w14:textId="603BB00D" w:rsidR="00F019C2" w:rsidRPr="005A3BF4" w:rsidRDefault="00F019C2" w:rsidP="002B5084">
            <w:pPr>
              <w:pStyle w:val="Akapitzlist"/>
              <w:numPr>
                <w:ilvl w:val="4"/>
                <w:numId w:val="2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  <w:t>e</w:t>
            </w:r>
            <w:r w:rsidRPr="005A3BF4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kspresja CPS ≥ 1 – pembrolizumab w monoterapii</w:t>
            </w:r>
            <w:r w:rsidR="00A461C1" w:rsidRPr="005A3BF4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 w przypadku wolnej progresji oraz niewielkiego nasilenia dolegliwości i objawów związanych z nowotworem</w:t>
            </w:r>
            <w:r w:rsidRPr="005A3BF4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,</w:t>
            </w:r>
          </w:p>
          <w:p w14:paraId="008E0EC8" w14:textId="1F8AB772" w:rsidR="00F019C2" w:rsidRPr="005A3BF4" w:rsidRDefault="00F019C2" w:rsidP="002B5084">
            <w:pPr>
              <w:pStyle w:val="Akapitzlist"/>
              <w:numPr>
                <w:ilvl w:val="4"/>
                <w:numId w:val="2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ekspresja CPS ≥ 1 – pembrolizumab w skojarzeniu z chemioterapią opartą na pochodnych platyny i 5-fluorouracylu (5-FU)</w:t>
            </w:r>
            <w:r w:rsidR="00BF419E" w:rsidRPr="005A3BF4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 w przypadku dynamicznej progresji lub nasilonych dolegliwości i objawów zależnych od nowotworu (możliwość uzyskania szybszej odpowiedzi indukowanej przez chemioterapię)</w:t>
            </w:r>
            <w:r w:rsidR="009A726D" w:rsidRPr="005A3BF4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;</w:t>
            </w:r>
            <w:r w:rsidRPr="005A3BF4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27AC4996" w14:textId="7996D7CF" w:rsidR="00FF6C47" w:rsidRPr="00093C80" w:rsidRDefault="00FF6C47" w:rsidP="002B5084">
            <w:pPr>
              <w:pStyle w:val="Akapitzlist"/>
              <w:numPr>
                <w:ilvl w:val="2"/>
                <w:numId w:val="6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93C80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Kryteria kwalifikacji</w:t>
            </w:r>
          </w:p>
          <w:p w14:paraId="44BD48FB" w14:textId="77777777" w:rsidR="00F019C2" w:rsidRPr="005A3BF4" w:rsidRDefault="00F019C2" w:rsidP="002B5084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histologicznie potwierdzony płaskonabłonkowy nowotwór jamy ustnej, ustnej lub krtaniowej części gardła lub krtani (z wykluczeniem raka typu </w:t>
            </w:r>
            <w:proofErr w:type="spellStart"/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nosogardłowego</w:t>
            </w:r>
            <w:proofErr w:type="spellEnd"/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) z nawrotem miejscowym lub/i regionalnym po leczeniu loko regionalnym lub przerzutami odległymi;</w:t>
            </w:r>
          </w:p>
          <w:p w14:paraId="01E574DE" w14:textId="77777777" w:rsidR="00F019C2" w:rsidRPr="005A3BF4" w:rsidRDefault="00F019C2" w:rsidP="002B5084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brak możliwości ratującego leczenia chirurgicznego lub radioterapii;</w:t>
            </w:r>
          </w:p>
          <w:p w14:paraId="1BD625C9" w14:textId="77777777" w:rsidR="00F019C2" w:rsidRPr="005A3BF4" w:rsidRDefault="00F019C2" w:rsidP="002B5084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niestosowanie wcześniejszego leczenia systemowego z wyłączeniem chemioterapii lub leczenia celowanego stosowanego łącznie z napromienianiem w ramach leczenia radykalnego;</w:t>
            </w:r>
          </w:p>
          <w:p w14:paraId="0C75B475" w14:textId="77777777" w:rsidR="00F019C2" w:rsidRPr="005A3BF4" w:rsidRDefault="00F019C2" w:rsidP="002B5084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sprawność w stopniu 0-1 wg klasyfikacji WHO lub ECOG;</w:t>
            </w:r>
          </w:p>
          <w:p w14:paraId="29CD9C42" w14:textId="77777777" w:rsidR="00F019C2" w:rsidRPr="005A3BF4" w:rsidRDefault="00F019C2" w:rsidP="002B5084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wiek powyżej 18. roku życia;</w:t>
            </w:r>
          </w:p>
          <w:p w14:paraId="73731545" w14:textId="77777777" w:rsidR="00F019C2" w:rsidRPr="005A3BF4" w:rsidRDefault="00F019C2" w:rsidP="002B5084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wykluczenie współwystępowania chorób o istotnym klinicznie znaczeniu bez możliwości kontroli za pomocą właściwego leczenia;</w:t>
            </w:r>
          </w:p>
          <w:p w14:paraId="4A628F47" w14:textId="77777777" w:rsidR="00F019C2" w:rsidRPr="005A3BF4" w:rsidRDefault="00F019C2" w:rsidP="002B5084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nieobecność aktywnych chorób autoimmunologicznych z wyłączeniem cukrzycy typu 1., niedoczynności tarczycy w trakcie suplementacji hormonalnej, łuszczycy i bielactwa;</w:t>
            </w:r>
          </w:p>
          <w:p w14:paraId="4B0AB4B4" w14:textId="77777777" w:rsidR="00F019C2" w:rsidRPr="005A3BF4" w:rsidRDefault="00F019C2" w:rsidP="002B5084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wykluczenie ciąży lub karmienia piersią;</w:t>
            </w:r>
            <w:bookmarkStart w:id="0" w:name="_Hlk64965225"/>
          </w:p>
          <w:p w14:paraId="56A3E8CF" w14:textId="68305876" w:rsidR="00F019C2" w:rsidRPr="005A3BF4" w:rsidRDefault="00AD5DC3" w:rsidP="002B5084">
            <w:pPr>
              <w:pStyle w:val="Akapitzlist"/>
              <w:numPr>
                <w:ilvl w:val="3"/>
                <w:numId w:val="3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nieobecność </w:t>
            </w:r>
            <w:r w:rsidR="00F019C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przeciwwskazań:</w:t>
            </w:r>
          </w:p>
          <w:p w14:paraId="7B0E2C78" w14:textId="32AE168E" w:rsidR="00F019C2" w:rsidRPr="005A3BF4" w:rsidRDefault="00F019C2" w:rsidP="002B5084">
            <w:pPr>
              <w:pStyle w:val="Akapitzlist"/>
              <w:numPr>
                <w:ilvl w:val="4"/>
                <w:numId w:val="3"/>
              </w:numPr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w przypadku monoterapii: brak przeciwskazań do stosowania pembrolizumabu zgodnie z </w:t>
            </w:r>
            <w:r w:rsidR="00A14D9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ChPL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,</w:t>
            </w:r>
          </w:p>
          <w:p w14:paraId="51B4AB3A" w14:textId="5BA409FE" w:rsidR="004C7D52" w:rsidRPr="005A3BF4" w:rsidRDefault="00F019C2" w:rsidP="002B5084">
            <w:pPr>
              <w:pStyle w:val="Akapitzlist"/>
              <w:numPr>
                <w:ilvl w:val="4"/>
                <w:numId w:val="3"/>
              </w:numPr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w przypadku terapii skojarzonej: brak przeciwskazań do stosowania pembrolizumabu i chemioterapii opartej na pochodnych platyny i 5-fluorouracylu (5-FU) zgodnie z odpowiednimi </w:t>
            </w:r>
            <w:bookmarkEnd w:id="0"/>
            <w:r w:rsidR="00A14D9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ChPL</w:t>
            </w:r>
            <w:r w:rsidR="005F49FD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14:paraId="752CBFD1" w14:textId="06EC6FA9" w:rsidR="005F49FD" w:rsidRPr="005A3BF4" w:rsidRDefault="00E109A2" w:rsidP="009423B8">
            <w:pPr>
              <w:pStyle w:val="Akapitzlist"/>
              <w:spacing w:after="60"/>
              <w:ind w:left="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324BAA9C" w14:textId="77777777" w:rsidR="00093C80" w:rsidRDefault="00093C80" w:rsidP="009423B8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12C78094" w14:textId="79509BBE" w:rsidR="004C7D52" w:rsidRPr="006220DB" w:rsidRDefault="004C7D52" w:rsidP="002B5084">
            <w:pPr>
              <w:pStyle w:val="Akapitzlist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6220DB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Określenie czasu leczenia w programie</w:t>
            </w:r>
          </w:p>
          <w:p w14:paraId="4375775C" w14:textId="5CAF09DA" w:rsidR="004C7D52" w:rsidRPr="005A3BF4" w:rsidRDefault="005F49FD" w:rsidP="009423B8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Czas leczenia w programie określa lekarz. Leczenie należy kontynuować tak długo, dopóki obserwuje się korzyści kliniczne a leczenie jest tolerowane przez pacjenta.</w:t>
            </w:r>
          </w:p>
          <w:p w14:paraId="3D7D5665" w14:textId="77777777" w:rsidR="004C7D52" w:rsidRPr="005A3BF4" w:rsidRDefault="004C7D52" w:rsidP="009423B8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0F1BFAC2" w14:textId="1FD4D275" w:rsidR="004C7D52" w:rsidRPr="005A3BF4" w:rsidRDefault="004C7D52" w:rsidP="002B5084">
            <w:pPr>
              <w:pStyle w:val="Akapitzlist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Kryteria wyłączenia z programu</w:t>
            </w:r>
          </w:p>
          <w:p w14:paraId="363BDBD9" w14:textId="77777777" w:rsidR="005F49FD" w:rsidRPr="005A3BF4" w:rsidRDefault="005F49FD" w:rsidP="002B5084">
            <w:pPr>
              <w:pStyle w:val="Akapitzlist"/>
              <w:numPr>
                <w:ilvl w:val="3"/>
                <w:numId w:val="8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progresja choroby oceniona na podstawie obecnie obowiązujących kryteriów klasyfikacji RECIST, która musi być potwierdzona na podstawie kolejnej oceny badaniem obrazowym wykonanym nie wcześniej niż po upływie 4 tygodni;</w:t>
            </w:r>
          </w:p>
          <w:p w14:paraId="20A50B1E" w14:textId="77777777" w:rsidR="005F49FD" w:rsidRPr="005A3BF4" w:rsidRDefault="005F49FD" w:rsidP="002B5084">
            <w:pPr>
              <w:pStyle w:val="Akapitzlist"/>
              <w:numPr>
                <w:ilvl w:val="3"/>
                <w:numId w:val="8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nadwrażliwość na pembrolizumab;</w:t>
            </w:r>
          </w:p>
          <w:p w14:paraId="4FB58177" w14:textId="2728239E" w:rsidR="005F49FD" w:rsidRPr="005A3BF4" w:rsidRDefault="005F49FD" w:rsidP="002B5084">
            <w:pPr>
              <w:pStyle w:val="Akapitzlist"/>
              <w:numPr>
                <w:ilvl w:val="3"/>
                <w:numId w:val="8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wystąpienie klinicznie istotnej toksyczności leczenia w stopniu 3. lub 4. według kryteriów CTC (</w:t>
            </w:r>
            <w:proofErr w:type="spellStart"/>
            <w:r w:rsidRPr="005A3BF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Common</w:t>
            </w:r>
            <w:proofErr w:type="spellEnd"/>
            <w:r w:rsidRPr="005A3BF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A3BF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Toxity</w:t>
            </w:r>
            <w:proofErr w:type="spellEnd"/>
            <w:r w:rsidRPr="005A3BF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A3BF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Criteria</w:t>
            </w:r>
            <w:proofErr w:type="spellEnd"/>
            <w:r w:rsidRPr="005A3BF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zgodnie z </w:t>
            </w:r>
            <w:r w:rsidR="00A14D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ChPL</w:t>
            </w:r>
            <w:r w:rsidRPr="005A3BF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14:paraId="500A5FB1" w14:textId="77777777" w:rsidR="005F49FD" w:rsidRPr="005A3BF4" w:rsidRDefault="005F49FD" w:rsidP="002B5084">
            <w:pPr>
              <w:pStyle w:val="Akapitzlist"/>
              <w:numPr>
                <w:ilvl w:val="3"/>
                <w:numId w:val="8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kobiety w wieku rozrodczym, które nie chcą lub nie są w stanie stosować dopuszczalnej metody antykoncepcji w celu uniknięcia ciąży przez cały okres leczenia oraz przez 5 miesięcy po jego zakończeniu;</w:t>
            </w:r>
          </w:p>
          <w:p w14:paraId="123BEBE1" w14:textId="40E5EEE3" w:rsidR="004C7D52" w:rsidRPr="005A3BF4" w:rsidRDefault="005F49FD" w:rsidP="002B5084">
            <w:pPr>
              <w:pStyle w:val="Akapitzlist"/>
              <w:numPr>
                <w:ilvl w:val="3"/>
                <w:numId w:val="8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kobiety w ciąży lub karmiące piersią.</w:t>
            </w:r>
          </w:p>
          <w:p w14:paraId="0592358E" w14:textId="77777777" w:rsidR="004C7D52" w:rsidRPr="005A3BF4" w:rsidRDefault="004C7D52" w:rsidP="009423B8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7241D564" w14:textId="722F8904" w:rsidR="0009401B" w:rsidRPr="006220DB" w:rsidRDefault="004C7D52" w:rsidP="002B5084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/>
                <w:strike/>
                <w:sz w:val="20"/>
                <w:szCs w:val="20"/>
              </w:rPr>
            </w:pPr>
            <w:r w:rsidRPr="006220DB">
              <w:rPr>
                <w:rFonts w:ascii="Times New Roman" w:hAnsi="Times New Roman"/>
                <w:b/>
                <w:sz w:val="20"/>
                <w:szCs w:val="20"/>
              </w:rPr>
              <w:t xml:space="preserve">Niwolumab w leczeniu płaskonabłonkowego raka jamy ustnej, gardła lub krtani postępującego podczas lub po zakończeniu terapii opartej na pochodnych platyny </w:t>
            </w:r>
          </w:p>
          <w:p w14:paraId="075765CD" w14:textId="31622D83" w:rsidR="00E93A7F" w:rsidRPr="006220DB" w:rsidRDefault="00E93A7F" w:rsidP="002B5084">
            <w:pPr>
              <w:pStyle w:val="Akapitzlist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Leczenie</w:t>
            </w:r>
            <w:r w:rsidR="00424928"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niwolumabem</w:t>
            </w:r>
            <w:r w:rsidR="00424928"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dorosłych</w:t>
            </w:r>
            <w:r w:rsidR="00424928"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pacjentów</w:t>
            </w:r>
            <w:r w:rsidR="00424928"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z</w:t>
            </w:r>
            <w:r w:rsidR="00424928"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nawrotowym</w:t>
            </w:r>
            <w:r w:rsidR="00424928"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lub</w:t>
            </w:r>
            <w:r w:rsidR="00424928"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przerzutowym</w:t>
            </w:r>
            <w:r w:rsidR="00424928"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płaskonabłonkowym</w:t>
            </w:r>
            <w:r w:rsidR="00424928"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rakiem</w:t>
            </w:r>
            <w:r w:rsidR="00424928"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jamy</w:t>
            </w:r>
            <w:r w:rsidR="00424928"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ustnej,</w:t>
            </w:r>
            <w:r w:rsidR="00424928"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gardła</w:t>
            </w:r>
            <w:r w:rsidR="00424928"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lub</w:t>
            </w:r>
            <w:r w:rsidR="00424928"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krtani,</w:t>
            </w:r>
            <w:r w:rsidR="00424928"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który</w:t>
            </w:r>
            <w:r w:rsidR="00424928"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uległ</w:t>
            </w:r>
            <w:r w:rsidR="00424928"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progresji</w:t>
            </w:r>
            <w:r w:rsidR="00424928"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po</w:t>
            </w:r>
            <w:r w:rsidR="00424928"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lub</w:t>
            </w:r>
            <w:r w:rsidR="00424928"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w</w:t>
            </w:r>
            <w:r w:rsidR="00424928"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trakcie</w:t>
            </w:r>
            <w:r w:rsidR="00424928"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leczenia</w:t>
            </w:r>
            <w:r w:rsidR="00424928"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opartego</w:t>
            </w:r>
            <w:r w:rsidR="00424928"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na</w:t>
            </w:r>
            <w:r w:rsidR="00424928"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pochodnych</w:t>
            </w:r>
            <w:r w:rsidR="00424928"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platyny</w:t>
            </w:r>
          </w:p>
          <w:p w14:paraId="3EE92438" w14:textId="0D0A2D3A" w:rsidR="00E93A7F" w:rsidRPr="005A3BF4" w:rsidRDefault="00E93A7F" w:rsidP="002B5084">
            <w:pPr>
              <w:pStyle w:val="Akapitzlist"/>
              <w:numPr>
                <w:ilvl w:val="2"/>
                <w:numId w:val="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Kryteria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kwalifikacji</w:t>
            </w:r>
          </w:p>
          <w:p w14:paraId="111F3B68" w14:textId="3C23C6D1" w:rsidR="00E93A7F" w:rsidRPr="005A3BF4" w:rsidRDefault="005141AA" w:rsidP="002B5084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h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istologicznie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potwierdzony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płaskonabłonkowy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nowotwór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jamy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ustnej,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gardła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lub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krtani;</w:t>
            </w:r>
          </w:p>
          <w:p w14:paraId="7636CE0F" w14:textId="0B1D49AA" w:rsidR="00E93A7F" w:rsidRPr="005A3BF4" w:rsidRDefault="005141AA" w:rsidP="002B5084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u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dokumentowane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B44BC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niepowodzenie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wcześniejsze</w:t>
            </w:r>
            <w:r w:rsidR="00B44BC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j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B969E5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chemioterapi</w:t>
            </w:r>
            <w:r w:rsidR="00B44BC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E05A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opart</w:t>
            </w:r>
            <w:r w:rsidR="00B44BC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ej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pochodnych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platyny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E05A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(w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E05A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tym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E05A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stosowaną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E05A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E05A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skojarzeniu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E05A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z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E05A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lekami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E05A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anty-EGFR)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;</w:t>
            </w:r>
          </w:p>
          <w:p w14:paraId="7D9FB9CC" w14:textId="25D99298" w:rsidR="0061263C" w:rsidRPr="005A3BF4" w:rsidRDefault="0061263C" w:rsidP="002B5084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brak wcześniejszego leczenia lekami z grupy anty-PD</w:t>
            </w:r>
            <w:r w:rsidR="004C23CE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-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L/PD</w:t>
            </w:r>
            <w:r w:rsidR="004C23CE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-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L1;</w:t>
            </w:r>
          </w:p>
          <w:p w14:paraId="2F8C0804" w14:textId="072467B6" w:rsidR="00E93A7F" w:rsidRPr="005A3BF4" w:rsidRDefault="005141AA" w:rsidP="002B5084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u</w:t>
            </w:r>
            <w:r w:rsidR="00B44BC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dokumentowany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B44BC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awrót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(miejscowy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lub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węzłowy)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lub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uogólnienie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(przerzuty)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stwierdzon</w:t>
            </w:r>
            <w:r w:rsidR="00B44BC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y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trakcie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lub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ciągu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6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miesięcy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po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zakończeniu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wcześniejszej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chemioterapii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z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udziałem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jednej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z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pochodnych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platyny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E05A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(w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E05A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tym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E05A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stosowanych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E05A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E05A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skojarzeniu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E05A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z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E05A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lekami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2E05A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anty-EGFR)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;</w:t>
            </w:r>
          </w:p>
          <w:p w14:paraId="2A1C50F4" w14:textId="3F1ECBC9" w:rsidR="00E93A7F" w:rsidRPr="005A3BF4" w:rsidRDefault="005141AA" w:rsidP="002B5084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prawność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stopniu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0-1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wg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klasyfikacji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WHO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lub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ECOG;</w:t>
            </w:r>
          </w:p>
          <w:p w14:paraId="1B5A6FC4" w14:textId="5A75BC15" w:rsidR="00E93A7F" w:rsidRPr="005A3BF4" w:rsidRDefault="005141AA" w:rsidP="002B5084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b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rak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aktywnych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chorób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autoimmunologicznych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z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wyłączeniem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cukrzycy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typu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I,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niedoczynności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tarczycy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(leczonej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wyłącznie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suplementacją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hormonalną),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łuszczycy,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9401B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bielactwa.</w:t>
            </w:r>
          </w:p>
          <w:p w14:paraId="71BD680D" w14:textId="61241615" w:rsidR="0093371B" w:rsidRPr="005A3BF4" w:rsidRDefault="0093371B" w:rsidP="009423B8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bookmarkStart w:id="1" w:name="_Hlk108181855"/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bookmarkEnd w:id="1"/>
          <w:p w14:paraId="24E5DAF8" w14:textId="77777777" w:rsidR="0009401B" w:rsidRPr="005A3BF4" w:rsidRDefault="0009401B" w:rsidP="009423B8">
            <w:pPr>
              <w:pStyle w:val="Akapitzlist"/>
              <w:autoSpaceDE w:val="0"/>
              <w:autoSpaceDN w:val="0"/>
              <w:adjustRightInd w:val="0"/>
              <w:spacing w:after="60"/>
              <w:ind w:left="227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77E84D9" w14:textId="5524E790" w:rsidR="00E93A7F" w:rsidRPr="005A3BF4" w:rsidRDefault="00E93A7F" w:rsidP="002B5084">
            <w:pPr>
              <w:pStyle w:val="Akapitzlist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Określenie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czasu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leczenia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programie</w:t>
            </w:r>
          </w:p>
          <w:p w14:paraId="4BBB6015" w14:textId="6501CDC8" w:rsidR="00E93A7F" w:rsidRPr="005A3BF4" w:rsidRDefault="00E93A7F" w:rsidP="009423B8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Czas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leczenia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programie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określa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lekarz.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Leczenie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należy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kontynuować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tak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długo,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dopóki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obserwuje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się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korzyści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kliniczne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leczenie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jest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tolerowane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przez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pacjenta.</w:t>
            </w:r>
          </w:p>
          <w:p w14:paraId="11405038" w14:textId="77777777" w:rsidR="0009401B" w:rsidRPr="005A3BF4" w:rsidRDefault="0009401B" w:rsidP="009423B8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E61EB27" w14:textId="0BAE63D0" w:rsidR="00E93A7F" w:rsidRPr="005A3BF4" w:rsidRDefault="00E93A7F" w:rsidP="002B5084">
            <w:pPr>
              <w:pStyle w:val="Akapitzlist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Kryteria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czasowego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zawieszenia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leczenia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niwolumabem</w:t>
            </w:r>
          </w:p>
          <w:p w14:paraId="3D873C17" w14:textId="26D4FDB8" w:rsidR="00E93A7F" w:rsidRPr="005A3BF4" w:rsidRDefault="00E93A7F" w:rsidP="009423B8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Zgodnie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z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opisem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198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ChPL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14:paraId="08192131" w14:textId="317CFCB2" w:rsidR="00E93A7F" w:rsidRPr="005A3BF4" w:rsidRDefault="00E93A7F" w:rsidP="009423B8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Podawanie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niwolumabu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można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wznowić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przypadku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całkowitego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ustąpienia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działania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niepożądanego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lub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zmniejszenia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stopnia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nasilenia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do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stopnia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1.</w:t>
            </w:r>
          </w:p>
          <w:p w14:paraId="22F70624" w14:textId="77777777" w:rsidR="0009401B" w:rsidRPr="005A3BF4" w:rsidRDefault="0009401B" w:rsidP="009423B8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71AF851" w14:textId="72581132" w:rsidR="00E93A7F" w:rsidRPr="005A3BF4" w:rsidRDefault="00E93A7F" w:rsidP="002B5084">
            <w:pPr>
              <w:pStyle w:val="Akapitzlist"/>
              <w:numPr>
                <w:ilvl w:val="1"/>
                <w:numId w:val="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Kryteria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wyłączenia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z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udziału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9401B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programie</w:t>
            </w:r>
          </w:p>
          <w:p w14:paraId="70B51902" w14:textId="21B74231" w:rsidR="00E93A7F" w:rsidRPr="005A3BF4" w:rsidRDefault="005141AA" w:rsidP="002B5084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rogresja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choroby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oceniona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podstawie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obecnie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obowiązujących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kryteriów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klasyfikacji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RECIST,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która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razie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potrzeby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powinna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być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potwierdzona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podstawie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kolejnej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oceny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badaniem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obrazowym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wykonanym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wcześniej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niż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po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upływie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4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3612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tygodni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;</w:t>
            </w:r>
          </w:p>
          <w:p w14:paraId="6E8D5CE8" w14:textId="15172EE5" w:rsidR="00E93A7F" w:rsidRPr="005A3BF4" w:rsidRDefault="005141AA" w:rsidP="002B5084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n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adwrażliwość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lek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;</w:t>
            </w:r>
          </w:p>
          <w:p w14:paraId="403221CC" w14:textId="3E4C1FC4" w:rsidR="00E93A7F" w:rsidRPr="005A3BF4" w:rsidRDefault="005141AA" w:rsidP="002B5084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ystąpienie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klinicznie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istotnej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toksyczności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leczenia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stopniu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lub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4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według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kryteriów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CTC</w:t>
            </w:r>
            <w:r w:rsidR="004A280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,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zgodnie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z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B198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ChPL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;</w:t>
            </w:r>
          </w:p>
          <w:p w14:paraId="5E477024" w14:textId="5BB6C2A9" w:rsidR="00E93A7F" w:rsidRPr="005A3BF4" w:rsidRDefault="005141AA" w:rsidP="002B5084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k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obiety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wieku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rozrodczym,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które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chcą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lub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są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stanie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stosować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dopuszczalnej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metody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antykoncepcji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celu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uniknięcia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ciąży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przez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cały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okres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leczenia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oraz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przez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5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miesięcy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po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jego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zakończeniu;</w:t>
            </w:r>
          </w:p>
          <w:p w14:paraId="761A9025" w14:textId="77777777" w:rsidR="001B39BE" w:rsidRDefault="005141AA" w:rsidP="002B5084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k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obiety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ciąży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lub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karmiące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piersią.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75A5F788" w14:textId="1293F902" w:rsidR="009423B8" w:rsidRPr="009423B8" w:rsidRDefault="009423B8" w:rsidP="009423B8">
            <w:pPr>
              <w:autoSpaceDE w:val="0"/>
              <w:autoSpaceDN w:val="0"/>
              <w:adjustRightInd w:val="0"/>
              <w:spacing w:after="60"/>
              <w:ind w:left="22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6BA4BD" w14:textId="34718278" w:rsidR="005264FA" w:rsidRPr="00503D83" w:rsidRDefault="00C0371A" w:rsidP="002B5084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60"/>
              <w:contextualSpacing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Pembrolizumab w leczeniu płaskonabłonkowego raka jamy ustnej, gardła lub krtani </w:t>
            </w:r>
          </w:p>
          <w:p w14:paraId="12A6E12B" w14:textId="33C4B18B" w:rsidR="00C0371A" w:rsidRPr="00503D83" w:rsidRDefault="00C0371A" w:rsidP="00503D83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03D83">
              <w:rPr>
                <w:rFonts w:ascii="Times New Roman" w:hAnsi="Times New Roman"/>
                <w:bCs/>
                <w:sz w:val="20"/>
                <w:szCs w:val="20"/>
              </w:rPr>
              <w:t>Dawkowanie oraz kryteria i sposób modyfikacji dawkowania (w tym okresowe wstrzymanie leczenia) prowadzone jest zgodnie z Charakterystyką Produktu Leczniczego</w:t>
            </w:r>
            <w:r w:rsidR="00A14D99">
              <w:rPr>
                <w:rFonts w:ascii="Times New Roman" w:hAnsi="Times New Roman"/>
                <w:bCs/>
                <w:sz w:val="20"/>
                <w:szCs w:val="20"/>
              </w:rPr>
              <w:t xml:space="preserve"> (dalej ChPL)</w:t>
            </w:r>
            <w:r w:rsidRPr="00503D8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27373B94" w14:textId="77777777" w:rsidR="002E1E9D" w:rsidRPr="006220DB" w:rsidRDefault="002E1E9D" w:rsidP="00FF6C47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7280185B" w14:textId="2625B2D1" w:rsidR="00E93A7F" w:rsidRPr="00503D83" w:rsidRDefault="00E93A7F" w:rsidP="002B5084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>Niwolumab</w:t>
            </w:r>
            <w:r w:rsidR="00424928"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>w</w:t>
            </w:r>
            <w:r w:rsidR="00424928"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>leczeniu</w:t>
            </w:r>
            <w:r w:rsidR="00424928"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>płaskonabłonkowego</w:t>
            </w:r>
            <w:r w:rsidR="00424928"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>raka</w:t>
            </w:r>
            <w:r w:rsidR="00424928"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>jamy</w:t>
            </w:r>
            <w:r w:rsidR="00424928"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>ustnej,</w:t>
            </w:r>
            <w:r w:rsidR="00424928"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>gardła</w:t>
            </w:r>
            <w:r w:rsidR="00424928"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>lub</w:t>
            </w:r>
            <w:r w:rsidR="00424928"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>krtani</w:t>
            </w:r>
            <w:r w:rsidR="00424928"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>postępującego</w:t>
            </w:r>
            <w:r w:rsidR="00424928"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>podczas</w:t>
            </w:r>
            <w:r w:rsidR="00424928"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>lub</w:t>
            </w:r>
            <w:r w:rsidR="00424928"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>po</w:t>
            </w:r>
            <w:r w:rsidR="00424928"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>zakończeniu</w:t>
            </w:r>
            <w:r w:rsidR="00424928"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>terapii</w:t>
            </w:r>
            <w:r w:rsidR="00424928"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>opartej</w:t>
            </w:r>
            <w:r w:rsidR="00424928"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>na</w:t>
            </w:r>
            <w:r w:rsidR="00424928"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>pochodnych</w:t>
            </w:r>
            <w:r w:rsidR="00424928"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>platyny</w:t>
            </w:r>
            <w:r w:rsidR="00424928" w:rsidRPr="006220D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458F0A20" w14:textId="5B249F27" w:rsidR="00E93A7F" w:rsidRPr="00503D83" w:rsidRDefault="00E93A7F" w:rsidP="00503D83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03D83">
              <w:rPr>
                <w:rFonts w:ascii="Times New Roman" w:hAnsi="Times New Roman"/>
                <w:bCs/>
                <w:sz w:val="20"/>
                <w:szCs w:val="20"/>
              </w:rPr>
              <w:t>Dawkowanie</w:t>
            </w:r>
            <w:r w:rsidR="00424928" w:rsidRPr="00503D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03D83">
              <w:rPr>
                <w:rFonts w:ascii="Times New Roman" w:hAnsi="Times New Roman"/>
                <w:bCs/>
                <w:sz w:val="20"/>
                <w:szCs w:val="20"/>
              </w:rPr>
              <w:t>oraz</w:t>
            </w:r>
            <w:r w:rsidR="00424928" w:rsidRPr="00503D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03D83">
              <w:rPr>
                <w:rFonts w:ascii="Times New Roman" w:hAnsi="Times New Roman"/>
                <w:bCs/>
                <w:sz w:val="20"/>
                <w:szCs w:val="20"/>
              </w:rPr>
              <w:t>kryteria</w:t>
            </w:r>
            <w:r w:rsidR="00424928" w:rsidRPr="00503D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03D83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  <w:r w:rsidR="00424928" w:rsidRPr="00503D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03D83">
              <w:rPr>
                <w:rFonts w:ascii="Times New Roman" w:hAnsi="Times New Roman"/>
                <w:bCs/>
                <w:sz w:val="20"/>
                <w:szCs w:val="20"/>
              </w:rPr>
              <w:t>sposób</w:t>
            </w:r>
            <w:r w:rsidR="00424928" w:rsidRPr="00503D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03D83">
              <w:rPr>
                <w:rFonts w:ascii="Times New Roman" w:hAnsi="Times New Roman"/>
                <w:bCs/>
                <w:sz w:val="20"/>
                <w:szCs w:val="20"/>
              </w:rPr>
              <w:t>modyfikacji</w:t>
            </w:r>
            <w:r w:rsidR="00424928" w:rsidRPr="00503D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03D83">
              <w:rPr>
                <w:rFonts w:ascii="Times New Roman" w:hAnsi="Times New Roman"/>
                <w:bCs/>
                <w:sz w:val="20"/>
                <w:szCs w:val="20"/>
              </w:rPr>
              <w:t>dawkowania</w:t>
            </w:r>
            <w:r w:rsidR="00424928" w:rsidRPr="00503D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03D83">
              <w:rPr>
                <w:rFonts w:ascii="Times New Roman" w:hAnsi="Times New Roman"/>
                <w:bCs/>
                <w:sz w:val="20"/>
                <w:szCs w:val="20"/>
              </w:rPr>
              <w:t>(w</w:t>
            </w:r>
            <w:r w:rsidR="00424928" w:rsidRPr="00503D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03D83">
              <w:rPr>
                <w:rFonts w:ascii="Times New Roman" w:hAnsi="Times New Roman"/>
                <w:bCs/>
                <w:sz w:val="20"/>
                <w:szCs w:val="20"/>
              </w:rPr>
              <w:t>tym</w:t>
            </w:r>
            <w:r w:rsidR="00424928" w:rsidRPr="00503D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03D83">
              <w:rPr>
                <w:rFonts w:ascii="Times New Roman" w:hAnsi="Times New Roman"/>
                <w:bCs/>
                <w:sz w:val="20"/>
                <w:szCs w:val="20"/>
              </w:rPr>
              <w:t>okresowe</w:t>
            </w:r>
            <w:r w:rsidR="00424928" w:rsidRPr="00503D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03D83">
              <w:rPr>
                <w:rFonts w:ascii="Times New Roman" w:hAnsi="Times New Roman"/>
                <w:bCs/>
                <w:sz w:val="20"/>
                <w:szCs w:val="20"/>
              </w:rPr>
              <w:t>wstrzymanie</w:t>
            </w:r>
            <w:r w:rsidR="00424928" w:rsidRPr="00503D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03D83">
              <w:rPr>
                <w:rFonts w:ascii="Times New Roman" w:hAnsi="Times New Roman"/>
                <w:bCs/>
                <w:sz w:val="20"/>
                <w:szCs w:val="20"/>
              </w:rPr>
              <w:t>leczenia)</w:t>
            </w:r>
            <w:r w:rsidR="00424928" w:rsidRPr="00503D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03D83">
              <w:rPr>
                <w:rFonts w:ascii="Times New Roman" w:hAnsi="Times New Roman"/>
                <w:bCs/>
                <w:sz w:val="20"/>
                <w:szCs w:val="20"/>
              </w:rPr>
              <w:t>prowadzone</w:t>
            </w:r>
            <w:r w:rsidR="00424928" w:rsidRPr="00503D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03D83">
              <w:rPr>
                <w:rFonts w:ascii="Times New Roman" w:hAnsi="Times New Roman"/>
                <w:bCs/>
                <w:sz w:val="20"/>
                <w:szCs w:val="20"/>
              </w:rPr>
              <w:t>jest</w:t>
            </w:r>
            <w:r w:rsidR="00424928" w:rsidRPr="00503D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03D83">
              <w:rPr>
                <w:rFonts w:ascii="Times New Roman" w:hAnsi="Times New Roman"/>
                <w:bCs/>
                <w:sz w:val="20"/>
                <w:szCs w:val="20"/>
              </w:rPr>
              <w:t>zgodnie</w:t>
            </w:r>
            <w:r w:rsidR="00424928" w:rsidRPr="00503D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03D83">
              <w:rPr>
                <w:rFonts w:ascii="Times New Roman" w:hAnsi="Times New Roman"/>
                <w:bCs/>
                <w:sz w:val="20"/>
                <w:szCs w:val="20"/>
              </w:rPr>
              <w:t>z</w:t>
            </w:r>
            <w:r w:rsidR="00424928" w:rsidRPr="00503D8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A14D99">
              <w:rPr>
                <w:rFonts w:ascii="Times New Roman" w:hAnsi="Times New Roman"/>
                <w:bCs/>
                <w:sz w:val="20"/>
                <w:szCs w:val="20"/>
              </w:rPr>
              <w:t>ChPL</w:t>
            </w:r>
            <w:r w:rsidRPr="00503D83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1B844598" w14:textId="0230295F" w:rsidR="005264FA" w:rsidRPr="005A3BF4" w:rsidRDefault="005264FA" w:rsidP="00FF6C47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789121D" w14:textId="26143A3F" w:rsidR="005F49FD" w:rsidRPr="00503D83" w:rsidRDefault="004C7D52" w:rsidP="002B5084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 w:after="60"/>
              <w:contextualSpacing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503D83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Pembrolizumab w leczeniu płaskonabłonkowego raka jamy ustnej, gardła lub krtani</w:t>
            </w:r>
          </w:p>
          <w:p w14:paraId="025A24C9" w14:textId="0B043BF2" w:rsidR="005F49FD" w:rsidRPr="00503D83" w:rsidRDefault="005F49FD" w:rsidP="002B508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03D8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Badania przy kwalifikacji do leczenia </w:t>
            </w:r>
          </w:p>
          <w:p w14:paraId="0096AB2E" w14:textId="77777777" w:rsidR="005F49FD" w:rsidRPr="00503D83" w:rsidRDefault="005F49FD" w:rsidP="002B5084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03D8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badanie podmiotowe i przedmiotowe;</w:t>
            </w:r>
          </w:p>
          <w:p w14:paraId="06774419" w14:textId="77777777" w:rsidR="005F49FD" w:rsidRPr="005A3BF4" w:rsidRDefault="005F49FD" w:rsidP="002B5084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ocena stanu sprawności w skali ECOG;</w:t>
            </w:r>
          </w:p>
          <w:p w14:paraId="17752E38" w14:textId="77777777" w:rsidR="005F49FD" w:rsidRPr="005A3BF4" w:rsidRDefault="005F49FD" w:rsidP="002B5084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pomiar masy ciała;</w:t>
            </w:r>
          </w:p>
          <w:p w14:paraId="3AFDC804" w14:textId="456A1825" w:rsidR="005F49FD" w:rsidRPr="005A3BF4" w:rsidRDefault="005F49FD" w:rsidP="002B5084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badania laboratoryjne</w:t>
            </w:r>
            <w:r w:rsidR="0090312B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: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34EF07E3" w14:textId="3324AEA8" w:rsidR="005F49FD" w:rsidRPr="005A3BF4" w:rsidRDefault="005F49FD" w:rsidP="002B5084">
            <w:pPr>
              <w:pStyle w:val="Akapitzlist"/>
              <w:numPr>
                <w:ilvl w:val="4"/>
                <w:numId w:val="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morfologia krwi</w:t>
            </w:r>
            <w:r w:rsidR="0090312B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, </w:t>
            </w:r>
          </w:p>
          <w:p w14:paraId="510E5F6A" w14:textId="2A693FA1" w:rsidR="005F49FD" w:rsidRPr="005A3BF4" w:rsidRDefault="005F49FD" w:rsidP="002B5084">
            <w:pPr>
              <w:pStyle w:val="Akapitzlist"/>
              <w:numPr>
                <w:ilvl w:val="4"/>
                <w:numId w:val="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oznaczenie stężenia kreatyniny</w:t>
            </w:r>
            <w:r w:rsidR="0090312B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, </w:t>
            </w:r>
          </w:p>
          <w:p w14:paraId="2F6F3815" w14:textId="22BABA0A" w:rsidR="005F49FD" w:rsidRPr="005A3BF4" w:rsidRDefault="005F49FD" w:rsidP="002B5084">
            <w:pPr>
              <w:pStyle w:val="Akapitzlist"/>
              <w:numPr>
                <w:ilvl w:val="4"/>
                <w:numId w:val="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oznaczanie stężenia glukozy</w:t>
            </w:r>
            <w:r w:rsidR="0090312B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, </w:t>
            </w:r>
          </w:p>
          <w:p w14:paraId="58C7378C" w14:textId="707FCE19" w:rsidR="005F49FD" w:rsidRPr="005A3BF4" w:rsidRDefault="005F49FD" w:rsidP="002B5084">
            <w:pPr>
              <w:pStyle w:val="Akapitzlist"/>
              <w:numPr>
                <w:ilvl w:val="4"/>
                <w:numId w:val="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oznaczenie stężenia bilirubiny całkowitej</w:t>
            </w:r>
            <w:r w:rsidR="0090312B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,</w:t>
            </w:r>
          </w:p>
          <w:p w14:paraId="6DAADF5B" w14:textId="72128552" w:rsidR="005F49FD" w:rsidRPr="005A3BF4" w:rsidRDefault="005F49FD" w:rsidP="002B5084">
            <w:pPr>
              <w:pStyle w:val="Akapitzlist"/>
              <w:numPr>
                <w:ilvl w:val="4"/>
                <w:numId w:val="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oznaczenie aktywności aminotransferazy alaninowej i </w:t>
            </w:r>
            <w:proofErr w:type="spellStart"/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asparaginianowej</w:t>
            </w:r>
            <w:proofErr w:type="spellEnd"/>
            <w:r w:rsidR="0090312B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, </w:t>
            </w:r>
          </w:p>
          <w:p w14:paraId="4F479CAB" w14:textId="4B919EE3" w:rsidR="005F49FD" w:rsidRPr="005A3BF4" w:rsidRDefault="005F49FD" w:rsidP="002B5084">
            <w:pPr>
              <w:pStyle w:val="Akapitzlist"/>
              <w:numPr>
                <w:ilvl w:val="4"/>
                <w:numId w:val="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oznaczenie poziomu sodu, wapnia, potasu</w:t>
            </w:r>
            <w:r w:rsidR="0090312B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,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9523AA5" w14:textId="3B68C52B" w:rsidR="005F49FD" w:rsidRPr="005A3BF4" w:rsidRDefault="005F49FD" w:rsidP="002B5084">
            <w:pPr>
              <w:pStyle w:val="Akapitzlist"/>
              <w:numPr>
                <w:ilvl w:val="4"/>
                <w:numId w:val="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oznaczenie poziomu TSH</w:t>
            </w:r>
            <w:r w:rsidR="0090312B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,</w:t>
            </w:r>
            <w:r w:rsidR="0098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FT3, FT4,</w:t>
            </w:r>
          </w:p>
          <w:p w14:paraId="32A07C59" w14:textId="2A67267E" w:rsidR="005F49FD" w:rsidRPr="005A3BF4" w:rsidRDefault="005F49FD" w:rsidP="002B5084">
            <w:pPr>
              <w:pStyle w:val="Akapitzlist"/>
              <w:numPr>
                <w:ilvl w:val="4"/>
                <w:numId w:val="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test ciążowy u kobiet w wieku prokreacyjnym; </w:t>
            </w:r>
          </w:p>
          <w:p w14:paraId="4B2604A0" w14:textId="73CBC7CC" w:rsidR="00C0371A" w:rsidRPr="005A3BF4" w:rsidRDefault="005F49FD" w:rsidP="002B5084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badanie obrazowe – obligatoryjne – umożliwiające rozpoznanie miejscowego nawrotu lub uogólnienia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 xml:space="preserve">płaskonabłonkowego raka narządów głowy i szyi – TK </w:t>
            </w:r>
            <w:r w:rsidR="0098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lub MRI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lub inne, jeżeli wymaga tego stan kliniczny pacjenta</w:t>
            </w:r>
            <w:r w:rsidR="00C0371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;</w:t>
            </w:r>
          </w:p>
          <w:p w14:paraId="1278A15F" w14:textId="44B7AAFC" w:rsidR="005F49FD" w:rsidRPr="005A3BF4" w:rsidRDefault="005F49FD" w:rsidP="002B5084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Potwierdzenie obecności ekspresji PDL1 zgodnie z kryteriami kwalifikowania chorych przy użyciu</w:t>
            </w:r>
            <w:r w:rsidR="005A3BF4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przeciwciała DAKO 22C3 lub przeciwciała </w:t>
            </w:r>
            <w:proofErr w:type="spellStart"/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Ventana</w:t>
            </w:r>
            <w:proofErr w:type="spellEnd"/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SP263</w:t>
            </w:r>
            <w:r w:rsidR="00C0371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. </w:t>
            </w:r>
          </w:p>
          <w:p w14:paraId="38D37861" w14:textId="77777777" w:rsidR="005F49FD" w:rsidRPr="005A3BF4" w:rsidRDefault="005F49FD" w:rsidP="00503D83">
            <w:pPr>
              <w:pStyle w:val="Akapitzlist"/>
              <w:autoSpaceDE w:val="0"/>
              <w:autoSpaceDN w:val="0"/>
              <w:adjustRightInd w:val="0"/>
              <w:spacing w:after="60"/>
              <w:ind w:left="454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3BDE3ED" w14:textId="4576A76C" w:rsidR="005F49FD" w:rsidRPr="005A3BF4" w:rsidRDefault="005F49FD" w:rsidP="002B508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Monitorowanie bezpieczeństwa leczenia</w:t>
            </w:r>
          </w:p>
          <w:p w14:paraId="07B06610" w14:textId="77777777" w:rsidR="00C0371A" w:rsidRPr="005A3BF4" w:rsidRDefault="005F49FD" w:rsidP="002B5084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badanie podmiotowe i przedmiotowe;</w:t>
            </w:r>
          </w:p>
          <w:p w14:paraId="1D115709" w14:textId="77777777" w:rsidR="00C0371A" w:rsidRPr="005A3BF4" w:rsidRDefault="005F49FD" w:rsidP="002B5084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morfologia krwi;</w:t>
            </w:r>
          </w:p>
          <w:p w14:paraId="5B69F456" w14:textId="1C5BFEC7" w:rsidR="005F49FD" w:rsidRPr="005A3BF4" w:rsidRDefault="005F49FD" w:rsidP="002B5084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wskaźniki biochemiczne: oznaczenie stężenia kreatyniny, glukozy, bilirubiny całkowitej, sodu, potasu, wapnia, </w:t>
            </w:r>
            <w:proofErr w:type="spellStart"/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aminotransferaz</w:t>
            </w:r>
            <w:proofErr w:type="spellEnd"/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, TSH</w:t>
            </w:r>
            <w:r w:rsidR="0098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, FT3, FT4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. </w:t>
            </w:r>
          </w:p>
          <w:p w14:paraId="0ACF6103" w14:textId="73D65FBF" w:rsidR="005F49FD" w:rsidRPr="005A3BF4" w:rsidRDefault="005F49FD" w:rsidP="00503D83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Badania należy wykonywać co </w:t>
            </w:r>
            <w:r w:rsidR="0098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6</w:t>
            </w:r>
            <w:r w:rsidR="005B535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tygodni lub częściej w zależności od sytuacji klinicznej. </w:t>
            </w:r>
          </w:p>
          <w:p w14:paraId="50C9546E" w14:textId="77777777" w:rsidR="005F49FD" w:rsidRPr="005A3BF4" w:rsidRDefault="005F49FD" w:rsidP="00503D83">
            <w:pPr>
              <w:pStyle w:val="Akapitzlist"/>
              <w:autoSpaceDE w:val="0"/>
              <w:autoSpaceDN w:val="0"/>
              <w:adjustRightInd w:val="0"/>
              <w:spacing w:after="60"/>
              <w:ind w:left="454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6B8DD78" w14:textId="198DF43E" w:rsidR="005F49FD" w:rsidRPr="005A3BF4" w:rsidRDefault="005F49FD" w:rsidP="002B5084">
            <w:pPr>
              <w:pStyle w:val="Akapitzlist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Monitorowanie skuteczności leczeni</w:t>
            </w:r>
            <w:r w:rsidR="00C0371A" w:rsidRPr="005A3BF4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a</w:t>
            </w:r>
          </w:p>
          <w:p w14:paraId="7361B781" w14:textId="43CBCB91" w:rsidR="00C0371A" w:rsidRPr="005A3BF4" w:rsidRDefault="005F49FD" w:rsidP="002B5084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badanie </w:t>
            </w:r>
            <w:r w:rsidR="0002189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podmiotowe i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przedmiotowe;</w:t>
            </w:r>
          </w:p>
          <w:p w14:paraId="176375A6" w14:textId="77777777" w:rsidR="00C0371A" w:rsidRPr="005A3BF4" w:rsidRDefault="005F49FD" w:rsidP="002B5084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badania laboratoryjne;</w:t>
            </w:r>
          </w:p>
          <w:p w14:paraId="3383FE8A" w14:textId="223A5743" w:rsidR="005F49FD" w:rsidRPr="005A3BF4" w:rsidRDefault="005F49FD" w:rsidP="002B5084">
            <w:pPr>
              <w:pStyle w:val="Akapitzlist"/>
              <w:numPr>
                <w:ilvl w:val="3"/>
                <w:numId w:val="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badanie obrazowe – obligatoryjne – umożliwiające ocenę odpowiedzi na leczenie według aktualnych kryteriów RECIST – TK </w:t>
            </w:r>
            <w:r w:rsidR="0098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lub MRI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lub inne, jeżeli wymaga tego stan kliniczny pacjenta</w:t>
            </w:r>
            <w:r w:rsidR="00377C40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 w:rsidR="00DA214C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66FA8938" w14:textId="5DA5317A" w:rsidR="00D6241B" w:rsidRPr="005A3BF4" w:rsidRDefault="005F49FD" w:rsidP="00503D83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Badania należy wykonywać co 12 tygodni lub częściej w zależności od sytuacji klinicznej.</w:t>
            </w:r>
          </w:p>
          <w:p w14:paraId="30B9BB94" w14:textId="77777777" w:rsidR="00177D42" w:rsidRPr="00E11B4F" w:rsidRDefault="00177D42" w:rsidP="00177D42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11B4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 podstawie ww. badań w celu monitorowania skuteczności leczenia przekazywane są dane dotyczące wybranych wskaźników skuteczności terapii, dla których jest możliwe ich określenie przez lekarza prowadzącego dla indywidualnego pacjenta, spośród:</w:t>
            </w:r>
          </w:p>
          <w:p w14:paraId="605DF99A" w14:textId="77777777" w:rsidR="00177D42" w:rsidRPr="00E11B4F" w:rsidRDefault="00177D42" w:rsidP="002B5084">
            <w:pPr>
              <w:numPr>
                <w:ilvl w:val="5"/>
                <w:numId w:val="16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11B4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całkowita (CR) lub częściowa odpowiedź (PR) na leczenie,</w:t>
            </w:r>
          </w:p>
          <w:p w14:paraId="103D64D0" w14:textId="77777777" w:rsidR="00177D42" w:rsidRPr="00E11B4F" w:rsidRDefault="00177D42" w:rsidP="002B5084">
            <w:pPr>
              <w:numPr>
                <w:ilvl w:val="5"/>
                <w:numId w:val="16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11B4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stabilizacja (SD) lub progresja choroby (PD),</w:t>
            </w:r>
          </w:p>
          <w:p w14:paraId="1E512734" w14:textId="77777777" w:rsidR="00177D42" w:rsidRPr="00E11B4F" w:rsidRDefault="00177D42" w:rsidP="002B5084">
            <w:pPr>
              <w:numPr>
                <w:ilvl w:val="5"/>
                <w:numId w:val="16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11B4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całkowite przeżycie (OS) i czas do progresji (PFS).</w:t>
            </w:r>
          </w:p>
          <w:p w14:paraId="2A59ACBD" w14:textId="77777777" w:rsidR="00177D42" w:rsidRPr="00E11B4F" w:rsidRDefault="00177D42" w:rsidP="00177D42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11B4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Określenie odpowiedzi na leczenie powinno być wykonywane z wykorzystaniem metody identycznej do wykorzystanej podczas kwalifikowania do leczenia.</w:t>
            </w:r>
          </w:p>
          <w:p w14:paraId="2567FCCC" w14:textId="77777777" w:rsidR="00C0371A" w:rsidRPr="005A3BF4" w:rsidRDefault="00C0371A" w:rsidP="00503D83">
            <w:pPr>
              <w:pStyle w:val="Akapitzlist"/>
              <w:autoSpaceDE w:val="0"/>
              <w:autoSpaceDN w:val="0"/>
              <w:adjustRightInd w:val="0"/>
              <w:spacing w:after="60"/>
              <w:ind w:left="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037ED93" w14:textId="5736F3B0" w:rsidR="00E93A7F" w:rsidRPr="00503D83" w:rsidRDefault="00E93A7F" w:rsidP="002B5084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Niwolumab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w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leczeniu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płaskonabłonkowego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raka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jamy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ustnej,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gardła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lub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krtani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postępującego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podczas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lub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po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zakończeniu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terapii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opartej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na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pochodnych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platyny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CA1DF1F" w14:textId="5EFD1F0D" w:rsidR="00E93A7F" w:rsidRPr="005A3BF4" w:rsidRDefault="00E93A7F" w:rsidP="002B5084">
            <w:pPr>
              <w:pStyle w:val="Akapitzlist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Badania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przy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kwalifikacji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do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leczenia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niwolumabem</w:t>
            </w:r>
          </w:p>
          <w:p w14:paraId="43688C24" w14:textId="35A7B2E7" w:rsidR="00560636" w:rsidRPr="005A3BF4" w:rsidRDefault="004979BE" w:rsidP="002B5084">
            <w:pPr>
              <w:pStyle w:val="Akapitzlist"/>
              <w:numPr>
                <w:ilvl w:val="3"/>
                <w:numId w:val="10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b</w:t>
            </w:r>
            <w:r w:rsidR="00255D5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adanie </w:t>
            </w:r>
            <w:r w:rsidR="009430C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podmiotowe i </w:t>
            </w:r>
            <w:r w:rsidR="00255D5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przedmiotowe</w:t>
            </w:r>
            <w:r w:rsidR="00AD5DC3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;</w:t>
            </w:r>
            <w:r w:rsidR="00255D5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F357F9E" w14:textId="1FC8E646" w:rsidR="00560636" w:rsidRPr="005A3BF4" w:rsidRDefault="004979BE" w:rsidP="002B5084">
            <w:pPr>
              <w:pStyle w:val="Akapitzlist"/>
              <w:numPr>
                <w:ilvl w:val="3"/>
                <w:numId w:val="10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</w:t>
            </w:r>
            <w:r w:rsidR="00255D5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cena sprawności w skali ECOG</w:t>
            </w:r>
            <w:r w:rsidR="00AD5DC3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;</w:t>
            </w:r>
          </w:p>
          <w:p w14:paraId="5E3C3AFB" w14:textId="46A80089" w:rsidR="00560636" w:rsidRPr="005A3BF4" w:rsidRDefault="004979BE" w:rsidP="002B5084">
            <w:pPr>
              <w:pStyle w:val="Akapitzlist"/>
              <w:numPr>
                <w:ilvl w:val="3"/>
                <w:numId w:val="10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</w:t>
            </w:r>
            <w:r w:rsidR="00255D5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omiar masy ciała</w:t>
            </w:r>
            <w:r w:rsidR="00AD5DC3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;</w:t>
            </w:r>
            <w:r w:rsidR="00255D5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46BE0FB7" w14:textId="0643DC42" w:rsidR="00255D5A" w:rsidRPr="005A3BF4" w:rsidRDefault="004979BE" w:rsidP="002B5084">
            <w:pPr>
              <w:pStyle w:val="Akapitzlist"/>
              <w:numPr>
                <w:ilvl w:val="3"/>
                <w:numId w:val="10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b</w:t>
            </w:r>
            <w:r w:rsidR="00255D5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adania laboratoryjne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:</w:t>
            </w:r>
          </w:p>
          <w:p w14:paraId="5702C1AF" w14:textId="77777777" w:rsidR="00560636" w:rsidRPr="005A3BF4" w:rsidRDefault="00255D5A" w:rsidP="002B5084">
            <w:pPr>
              <w:pStyle w:val="Akapitzlist"/>
              <w:numPr>
                <w:ilvl w:val="4"/>
                <w:numId w:val="10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morfologia krwi</w:t>
            </w:r>
            <w:r w:rsidR="00AD5DC3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,</w:t>
            </w:r>
          </w:p>
          <w:p w14:paraId="49759B9A" w14:textId="77777777" w:rsidR="00560636" w:rsidRPr="005A3BF4" w:rsidRDefault="00255D5A" w:rsidP="002B5084">
            <w:pPr>
              <w:pStyle w:val="Akapitzlist"/>
              <w:numPr>
                <w:ilvl w:val="4"/>
                <w:numId w:val="10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oznaczenie stężenia kreatyniny</w:t>
            </w:r>
            <w:r w:rsidR="00AD5DC3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,</w:t>
            </w:r>
          </w:p>
          <w:p w14:paraId="4E30A939" w14:textId="77777777" w:rsidR="00560636" w:rsidRPr="005A3BF4" w:rsidRDefault="00255D5A" w:rsidP="002B5084">
            <w:pPr>
              <w:pStyle w:val="Akapitzlist"/>
              <w:numPr>
                <w:ilvl w:val="4"/>
                <w:numId w:val="10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oznaczanie stężenia glukozy</w:t>
            </w:r>
            <w:r w:rsidR="00AD5DC3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,</w:t>
            </w:r>
          </w:p>
          <w:p w14:paraId="4CA94835" w14:textId="77777777" w:rsidR="00560636" w:rsidRPr="005A3BF4" w:rsidRDefault="00255D5A" w:rsidP="002B5084">
            <w:pPr>
              <w:pStyle w:val="Akapitzlist"/>
              <w:numPr>
                <w:ilvl w:val="4"/>
                <w:numId w:val="10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oznaczenie stężenia bilirubiny całkowitej</w:t>
            </w:r>
            <w:r w:rsidR="00AD5DC3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,</w:t>
            </w:r>
          </w:p>
          <w:p w14:paraId="0DBFA886" w14:textId="77777777" w:rsidR="00560636" w:rsidRPr="005A3BF4" w:rsidRDefault="00255D5A" w:rsidP="002B5084">
            <w:pPr>
              <w:pStyle w:val="Akapitzlist"/>
              <w:numPr>
                <w:ilvl w:val="4"/>
                <w:numId w:val="10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oznaczenie aktywności aminotransferazy alaninowej i </w:t>
            </w:r>
            <w:proofErr w:type="spellStart"/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asparaginianowej</w:t>
            </w:r>
            <w:proofErr w:type="spellEnd"/>
            <w:r w:rsidR="00AD5DC3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,</w:t>
            </w:r>
          </w:p>
          <w:p w14:paraId="007C6CFB" w14:textId="77777777" w:rsidR="00560636" w:rsidRPr="005A3BF4" w:rsidRDefault="00255D5A" w:rsidP="002B5084">
            <w:pPr>
              <w:pStyle w:val="Akapitzlist"/>
              <w:numPr>
                <w:ilvl w:val="4"/>
                <w:numId w:val="10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oznaczenie poziomu sodu, wapnia, potasu</w:t>
            </w:r>
            <w:r w:rsidR="00AD5DC3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,</w:t>
            </w:r>
          </w:p>
          <w:p w14:paraId="6EE4E3E0" w14:textId="6E34556A" w:rsidR="00560636" w:rsidRPr="005A3BF4" w:rsidRDefault="00255D5A" w:rsidP="002B5084">
            <w:pPr>
              <w:pStyle w:val="Akapitzlist"/>
              <w:numPr>
                <w:ilvl w:val="4"/>
                <w:numId w:val="10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oznaczenie poziomu TSH</w:t>
            </w:r>
            <w:r w:rsidR="00AD5DC3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,</w:t>
            </w:r>
            <w:r w:rsidR="0098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FT4, FT3,</w:t>
            </w:r>
          </w:p>
          <w:p w14:paraId="079C9680" w14:textId="2F4E6E29" w:rsidR="00255D5A" w:rsidRPr="005A3BF4" w:rsidRDefault="00255D5A" w:rsidP="002B5084">
            <w:pPr>
              <w:pStyle w:val="Akapitzlist"/>
              <w:numPr>
                <w:ilvl w:val="4"/>
                <w:numId w:val="10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test ciążowy u kobiet w wieku prokreacyjnym; </w:t>
            </w:r>
          </w:p>
          <w:p w14:paraId="470421F8" w14:textId="124A18AA" w:rsidR="00255D5A" w:rsidRPr="005A3BF4" w:rsidRDefault="009430CE" w:rsidP="002B5084">
            <w:pPr>
              <w:pStyle w:val="Akapitzlist"/>
              <w:numPr>
                <w:ilvl w:val="3"/>
                <w:numId w:val="10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badanie obrazowe – obligatoryjne – umożliwiające rozpoznanie miejscowego nawrotu lub uogólnienia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 xml:space="preserve">płaskonabłonkowego raka narządów głowy i szyi – TK </w:t>
            </w:r>
            <w:r w:rsidR="0098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lub MRI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lub inne, jeżeli wymaga tego stan kliniczny pacjenta</w:t>
            </w:r>
            <w:r w:rsidR="00255D5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14:paraId="53D2FDBC" w14:textId="77777777" w:rsidR="00255D5A" w:rsidRPr="005A3BF4" w:rsidRDefault="00255D5A" w:rsidP="00503D83">
            <w:pPr>
              <w:pStyle w:val="Akapitzlist"/>
              <w:autoSpaceDE w:val="0"/>
              <w:autoSpaceDN w:val="0"/>
              <w:adjustRightInd w:val="0"/>
              <w:spacing w:after="60"/>
              <w:ind w:left="227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446137F" w14:textId="0E33FC30" w:rsidR="00E93A7F" w:rsidRPr="005A3BF4" w:rsidRDefault="00E93A7F" w:rsidP="002B5084">
            <w:pPr>
              <w:pStyle w:val="Akapitzlist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Monitorowanie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bezpieczeństwa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leczenia</w:t>
            </w:r>
          </w:p>
          <w:p w14:paraId="6E3A3AD4" w14:textId="2CB9539D" w:rsidR="00560636" w:rsidRPr="005A3BF4" w:rsidRDefault="004979BE" w:rsidP="002B5084">
            <w:pPr>
              <w:pStyle w:val="Akapitzlist"/>
              <w:numPr>
                <w:ilvl w:val="3"/>
                <w:numId w:val="11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b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adanie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podmiotowe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przedmiotowe</w:t>
            </w:r>
            <w:r w:rsidR="00AD5DC3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;</w:t>
            </w:r>
          </w:p>
          <w:p w14:paraId="1E31DD45" w14:textId="3A490FBB" w:rsidR="00560636" w:rsidRPr="005A3BF4" w:rsidRDefault="004979BE" w:rsidP="002B5084">
            <w:pPr>
              <w:pStyle w:val="Akapitzlist"/>
              <w:numPr>
                <w:ilvl w:val="3"/>
                <w:numId w:val="11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m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orfologia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krwi</w:t>
            </w:r>
            <w:r w:rsidR="00AD5DC3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;</w:t>
            </w:r>
          </w:p>
          <w:p w14:paraId="19D1E6A5" w14:textId="31B28044" w:rsidR="00E93A7F" w:rsidRPr="005A3BF4" w:rsidRDefault="004979BE" w:rsidP="002B5084">
            <w:pPr>
              <w:pStyle w:val="Akapitzlist"/>
              <w:numPr>
                <w:ilvl w:val="3"/>
                <w:numId w:val="11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arametry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biochemiczne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surowicy: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oznaczenie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stężenia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kreatyniny,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glukozy,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bilirubiny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całkowitej,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sodu,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potasu,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wapnia,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aminotransferaz</w:t>
            </w:r>
            <w:proofErr w:type="spellEnd"/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,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TSH</w:t>
            </w:r>
            <w:r w:rsidR="0098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, FT3, FT4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2489F799" w14:textId="4038A20D" w:rsidR="00E93A7F" w:rsidRPr="005A3BF4" w:rsidRDefault="00E93A7F" w:rsidP="00503D83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Badania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należy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wykonywać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co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8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6</w:t>
            </w:r>
            <w:r w:rsidR="005B535A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tygodni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lub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częściej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zależności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od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sytuacji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klinicznej.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3626D90" w14:textId="77777777" w:rsidR="00255D5A" w:rsidRPr="005A3BF4" w:rsidRDefault="00255D5A" w:rsidP="00503D83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BEC7023" w14:textId="7B5E867D" w:rsidR="00E93A7F" w:rsidRPr="005A3BF4" w:rsidRDefault="00E93A7F" w:rsidP="002B5084">
            <w:pPr>
              <w:pStyle w:val="Akapitzlist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Monitorowanie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skuteczności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leczenia</w:t>
            </w:r>
          </w:p>
          <w:p w14:paraId="3231205C" w14:textId="7D4B9024" w:rsidR="00560636" w:rsidRPr="005A3BF4" w:rsidRDefault="004979BE" w:rsidP="002B5084">
            <w:pPr>
              <w:pStyle w:val="Akapitzlist"/>
              <w:numPr>
                <w:ilvl w:val="3"/>
                <w:numId w:val="12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b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adanie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2189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podmiotowe i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przedmiotowe</w:t>
            </w:r>
            <w:r w:rsidR="00AD5DC3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;</w:t>
            </w:r>
          </w:p>
          <w:p w14:paraId="27A568F9" w14:textId="5D6643E6" w:rsidR="00560636" w:rsidRPr="005A3BF4" w:rsidRDefault="00021896" w:rsidP="002B5084">
            <w:pPr>
              <w:pStyle w:val="Akapitzlist"/>
              <w:numPr>
                <w:ilvl w:val="3"/>
                <w:numId w:val="12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b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adanie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laboratoryjne</w:t>
            </w:r>
            <w:r w:rsidR="00AD5DC3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;</w:t>
            </w:r>
          </w:p>
          <w:p w14:paraId="51F7B63C" w14:textId="76A0B5F2" w:rsidR="00E93A7F" w:rsidRPr="005A3BF4" w:rsidRDefault="004979BE" w:rsidP="002B5084">
            <w:pPr>
              <w:pStyle w:val="Akapitzlist"/>
              <w:numPr>
                <w:ilvl w:val="3"/>
                <w:numId w:val="12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b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adanie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obrazowe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umożliwiające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ocenę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odpowiedzi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leczenie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według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aktualnych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kryteriów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RECIST: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TK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8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lub MRI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lub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inne,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jeżeli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wymaga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tego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stan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kliniczny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pacjenta</w:t>
            </w:r>
            <w:r w:rsidR="00AD5DC3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2716F6D6" w14:textId="551C53B7" w:rsidR="00E93A7F" w:rsidRPr="005A3BF4" w:rsidRDefault="00E93A7F" w:rsidP="00503D83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Badania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należy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wykonywać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co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12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tygodni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lub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częściej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zależności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od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sytuacji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klinicznej.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3CB4676A" w14:textId="77777777" w:rsidR="00177D42" w:rsidRPr="00E11B4F" w:rsidRDefault="00177D42" w:rsidP="00177D42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11B4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 podstawie ww. badań w celu monitorowania skuteczności leczenia przekazywane są dane dotyczące wybranych wskaźników skuteczności terapii, dla których jest możliwe ich określenie przez lekarza prowadzącego dla indywidualnego pacjenta, spośród:</w:t>
            </w:r>
          </w:p>
          <w:p w14:paraId="6FF02000" w14:textId="77777777" w:rsidR="00177D42" w:rsidRPr="00E11B4F" w:rsidRDefault="00177D42" w:rsidP="002B5084">
            <w:pPr>
              <w:numPr>
                <w:ilvl w:val="5"/>
                <w:numId w:val="16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11B4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całkowita (CR) lub częściowa odpowiedź (PR) na leczenie,</w:t>
            </w:r>
          </w:p>
          <w:p w14:paraId="6A089FAD" w14:textId="77777777" w:rsidR="00177D42" w:rsidRPr="00E11B4F" w:rsidRDefault="00177D42" w:rsidP="002B5084">
            <w:pPr>
              <w:numPr>
                <w:ilvl w:val="5"/>
                <w:numId w:val="16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11B4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stabilizacja (SD) lub progresja choroby (PD),</w:t>
            </w:r>
          </w:p>
          <w:p w14:paraId="67E29D77" w14:textId="77777777" w:rsidR="00177D42" w:rsidRPr="00E11B4F" w:rsidRDefault="00177D42" w:rsidP="002B5084">
            <w:pPr>
              <w:numPr>
                <w:ilvl w:val="5"/>
                <w:numId w:val="16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11B4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całkowite przeżycie (OS) i czas do progresji (PFS).</w:t>
            </w:r>
          </w:p>
          <w:p w14:paraId="7BBFD477" w14:textId="77777777" w:rsidR="00177D42" w:rsidRPr="00E11B4F" w:rsidRDefault="00177D42" w:rsidP="00177D42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11B4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Określenie odpowiedzi na leczenie powinno być wykonywane z wykorzystaniem metody identycznej do wykorzystanej podczas kwalifikowania do leczenia.</w:t>
            </w:r>
          </w:p>
          <w:p w14:paraId="3AC4794F" w14:textId="77777777" w:rsidR="00255D5A" w:rsidRPr="005A3BF4" w:rsidRDefault="00255D5A" w:rsidP="00503D83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7083DD1" w14:textId="73B38EA4" w:rsidR="00E93A7F" w:rsidRPr="005A3BF4" w:rsidRDefault="00E93A7F" w:rsidP="002B5084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Monitorowanie</w:t>
            </w:r>
            <w:r w:rsidR="00424928"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programu</w:t>
            </w:r>
          </w:p>
          <w:p w14:paraId="1417008E" w14:textId="3C7DDC64" w:rsidR="00560636" w:rsidRPr="005A3BF4" w:rsidRDefault="004979BE" w:rsidP="002B5084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g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romadzenie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dokumentacji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medycznej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chorego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danych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dotyczących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monitorowania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leczenia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każdorazowe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ich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przedstawianie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żądanie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kontrolerów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Narodowego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Funduszu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Zdrowia</w:t>
            </w:r>
            <w:r w:rsidR="00AD5DC3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;</w:t>
            </w:r>
          </w:p>
          <w:p w14:paraId="5B4E6B96" w14:textId="11D7A290" w:rsidR="00560636" w:rsidRPr="005A3BF4" w:rsidRDefault="004979BE" w:rsidP="002B5084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110A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u</w:t>
            </w:r>
            <w:r w:rsidR="00E93A7F" w:rsidRPr="008110A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zupełnienie</w:t>
            </w:r>
            <w:r w:rsidR="00424928" w:rsidRPr="008110A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8110A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danych</w:t>
            </w:r>
            <w:r w:rsidR="00424928" w:rsidRPr="008110A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8110A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zawartych</w:t>
            </w:r>
            <w:r w:rsidR="00424928" w:rsidRPr="008110A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8110A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</w:t>
            </w:r>
            <w:r w:rsidR="00424928" w:rsidRPr="008110A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93C80" w:rsidRPr="008110A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elektronicznym systemie monitorowania programów lekowych, </w:t>
            </w:r>
            <w:r w:rsidR="00177D42" w:rsidRPr="00177D4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 dotyczących wskaźników skuteczności terapii zawartych w pkt. 1.3.</w:t>
            </w:r>
            <w:r w:rsidR="00177D4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i 2.3.</w:t>
            </w:r>
            <w:r w:rsidR="00177D42" w:rsidRPr="00177D4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, </w:t>
            </w:r>
            <w:r w:rsidR="00E93A7F" w:rsidRPr="008110A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dostępnym</w:t>
            </w:r>
            <w:r w:rsidR="00424928" w:rsidRPr="008110A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8110A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za</w:t>
            </w:r>
            <w:r w:rsidR="00424928" w:rsidRPr="008110A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8110A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pomocą</w:t>
            </w:r>
            <w:r w:rsidR="00424928" w:rsidRPr="008110A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8110A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aplikacji</w:t>
            </w:r>
            <w:r w:rsidR="00424928" w:rsidRPr="008110A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8110A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internetowej</w:t>
            </w:r>
            <w:r w:rsidR="00424928" w:rsidRPr="008110A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8110A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udostępnionej</w:t>
            </w:r>
            <w:r w:rsidR="00424928" w:rsidRPr="008110A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8110A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przez</w:t>
            </w:r>
            <w:r w:rsidR="00424928" w:rsidRPr="008110A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OW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NFZ,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z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częstotliwością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zgodną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z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opisem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programu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oraz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zakończenie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leczenia</w:t>
            </w:r>
            <w:r w:rsidR="00AD5DC3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;</w:t>
            </w:r>
          </w:p>
          <w:p w14:paraId="49423564" w14:textId="10A10119" w:rsidR="00E93A7F" w:rsidRPr="005A3BF4" w:rsidRDefault="004979BE" w:rsidP="002B5084">
            <w:pPr>
              <w:pStyle w:val="Akapitzlist"/>
              <w:numPr>
                <w:ilvl w:val="3"/>
                <w:numId w:val="13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rzekazywanie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informacji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sprawozdawczo-rozliczeniowych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do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NFZ: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informacje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przekazuje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się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do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NFZ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formie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papierowej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lub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formie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elektronicznej,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zgodnie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z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wymaganiami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opublikowanymi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przez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NFZ</w:t>
            </w:r>
            <w:r w:rsidR="00E93A7F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 w:rsidR="00424928" w:rsidRPr="005A3BF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7ED4E3AC" w14:textId="5692653A" w:rsidR="00255D5A" w:rsidRPr="005A3BF4" w:rsidRDefault="00255D5A" w:rsidP="00FF6C47">
            <w:pPr>
              <w:pStyle w:val="Akapitzlist"/>
              <w:autoSpaceDE w:val="0"/>
              <w:autoSpaceDN w:val="0"/>
              <w:adjustRightInd w:val="0"/>
              <w:spacing w:after="60"/>
              <w:ind w:left="227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FC5998" w:rsidRPr="00B24063" w14:paraId="6DFD0E9C" w14:textId="77777777" w:rsidTr="00652A3B">
        <w:trPr>
          <w:trHeight w:val="56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244B" w14:textId="099503D9" w:rsidR="00FC5998" w:rsidRPr="001831B8" w:rsidRDefault="009619FE" w:rsidP="00652A3B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ind w:left="714" w:hanging="357"/>
              <w:contextualSpacing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1831B8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LECZENIE CHORYCH Z NOWOTWOREM ZŁOŚLIWYM CZĘŚCI NOSOWEJ GARDŁA</w:t>
            </w:r>
            <w:r w:rsidR="007876A0" w:rsidRPr="001831B8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(ICD-10 C11)</w:t>
            </w:r>
          </w:p>
        </w:tc>
      </w:tr>
      <w:tr w:rsidR="005E4C6E" w:rsidRPr="00B24063" w14:paraId="4E7E2D0F" w14:textId="77777777" w:rsidTr="003409BE">
        <w:trPr>
          <w:trHeight w:val="2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218291D" w14:textId="4EDAF7A4" w:rsidR="005E4C6E" w:rsidRPr="00BA315E" w:rsidRDefault="005E4C6E" w:rsidP="00652A3B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120" w:after="60"/>
              <w:contextualSpacing w:val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A315E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T</w:t>
            </w:r>
            <w:r w:rsidR="004A2806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oripalimab</w:t>
            </w:r>
            <w:proofErr w:type="spellEnd"/>
            <w:r w:rsidRPr="00BA315E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w leczeniu raka jamy nosowo-gardłowej</w:t>
            </w:r>
          </w:p>
          <w:p w14:paraId="3DDCCE11" w14:textId="637940C9" w:rsidR="00C8160E" w:rsidRPr="00C8160E" w:rsidRDefault="00C8160E" w:rsidP="00652A3B">
            <w:pPr>
              <w:numPr>
                <w:ilvl w:val="1"/>
                <w:numId w:val="14"/>
              </w:num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8160E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Leczenie </w:t>
            </w:r>
            <w:proofErr w:type="spellStart"/>
            <w:r w:rsidR="004A2806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  <w:t>toripalimabem</w:t>
            </w:r>
            <w:proofErr w:type="spellEnd"/>
            <w:r w:rsidRPr="00C8160E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 w skojarzeniu z gemcytabiną i </w:t>
            </w:r>
            <w:proofErr w:type="spellStart"/>
            <w:r w:rsidRPr="00C8160E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  <w:t>cisplatyną</w:t>
            </w:r>
            <w:proofErr w:type="spellEnd"/>
            <w:r w:rsidRPr="00C8160E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  <w:t xml:space="preserve"> dorosłych pacjentów z rakiem jamy nosowo-gardłowej</w:t>
            </w:r>
          </w:p>
          <w:p w14:paraId="4D3D8F7D" w14:textId="77777777" w:rsidR="005E4C6E" w:rsidRPr="00E11B4F" w:rsidRDefault="005E4C6E" w:rsidP="00652A3B">
            <w:pPr>
              <w:numPr>
                <w:ilvl w:val="2"/>
                <w:numId w:val="14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E11B4F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Kryteria kwalifikacji</w:t>
            </w:r>
          </w:p>
          <w:p w14:paraId="0A71498D" w14:textId="77777777" w:rsidR="0095580E" w:rsidRDefault="0095580E" w:rsidP="00652A3B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580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histologicznie potwierdzony nowotwór </w:t>
            </w:r>
            <w:proofErr w:type="spellStart"/>
            <w:r w:rsidRPr="0095580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nosogardła</w:t>
            </w:r>
            <w:proofErr w:type="spellEnd"/>
            <w:r w:rsidRPr="0095580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z nawrotem miejscowym lub regionalnym po leczeniu loko regionalnym lub przerzutami odległymi (IVB);</w:t>
            </w:r>
          </w:p>
          <w:p w14:paraId="40D2359A" w14:textId="77777777" w:rsidR="0095580E" w:rsidRPr="0095580E" w:rsidRDefault="0095580E" w:rsidP="00652A3B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580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w przypadku pacjentów z nawrotowym rakiem </w:t>
            </w:r>
            <w:proofErr w:type="spellStart"/>
            <w:r w:rsidRPr="0095580E">
              <w:rPr>
                <w:rFonts w:ascii="Times New Roman" w:hAnsi="Times New Roman"/>
                <w:sz w:val="20"/>
                <w:szCs w:val="20"/>
              </w:rPr>
              <w:t>nosogardła</w:t>
            </w:r>
            <w:proofErr w:type="spellEnd"/>
            <w:r w:rsidRPr="0095580E">
              <w:rPr>
                <w:rFonts w:ascii="Times New Roman" w:hAnsi="Times New Roman"/>
                <w:sz w:val="20"/>
                <w:szCs w:val="20"/>
              </w:rPr>
              <w:t xml:space="preserve"> po zastosowaniu leczenia z zamiarem wyleczenia (włączając radioterapię lub chemioterapię indukcyjną, jednoczasową, lub </w:t>
            </w:r>
            <w:proofErr w:type="spellStart"/>
            <w:r w:rsidRPr="0095580E">
              <w:rPr>
                <w:rFonts w:ascii="Times New Roman" w:hAnsi="Times New Roman"/>
                <w:sz w:val="20"/>
                <w:szCs w:val="20"/>
              </w:rPr>
              <w:t>adjuwantową</w:t>
            </w:r>
            <w:proofErr w:type="spellEnd"/>
            <w:r w:rsidRPr="0095580E">
              <w:rPr>
                <w:rFonts w:ascii="Times New Roman" w:hAnsi="Times New Roman"/>
                <w:sz w:val="20"/>
                <w:szCs w:val="20"/>
              </w:rPr>
              <w:t>) odstęp pomiędzy ostatnią dawką radioterapii albo chemioterapii a nawrotem choroby: dłuższy niż 6 miesięcy;</w:t>
            </w:r>
          </w:p>
          <w:p w14:paraId="403CEEBE" w14:textId="77777777" w:rsidR="0095580E" w:rsidRDefault="0095580E" w:rsidP="00652A3B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580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brak możliwości ratującego leczenia regionalnego, w tym chirurgicznego lub radioterapii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14:paraId="6ECCDE64" w14:textId="38F84AE5" w:rsidR="0095580E" w:rsidRPr="00C65B7D" w:rsidRDefault="0095580E" w:rsidP="00652A3B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580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niestosowanie wcześniejszego leczenia systemowego nowotworu </w:t>
            </w:r>
            <w:proofErr w:type="spellStart"/>
            <w:r w:rsidRPr="0095580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nosogardła</w:t>
            </w:r>
            <w:proofErr w:type="spellEnd"/>
            <w:r w:rsidR="0010719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107192" w:rsidRPr="00C65B7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 wyłączeniem chemioterapii stosowanej w leczeniu radykalnym, o której mowa w pkt 2</w:t>
            </w:r>
            <w:r w:rsidRPr="00C65B7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14:paraId="41CF52F6" w14:textId="77777777" w:rsidR="0095580E" w:rsidRDefault="0095580E" w:rsidP="00652A3B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580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brak wcześniejszego leczenia inhibitorami punktów kontrolnych układu immunologicznego;</w:t>
            </w:r>
          </w:p>
          <w:p w14:paraId="7F049824" w14:textId="77777777" w:rsidR="0095580E" w:rsidRPr="009430CE" w:rsidRDefault="0095580E" w:rsidP="00652A3B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30C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sprawność w stopniu 0-1 wg klasyfikacji WHO lub ECOG;</w:t>
            </w:r>
          </w:p>
          <w:p w14:paraId="2B064B79" w14:textId="77777777" w:rsidR="0095580E" w:rsidRPr="009430CE" w:rsidRDefault="0095580E" w:rsidP="00652A3B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30C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wiek powyżej 18. roku życia;</w:t>
            </w:r>
          </w:p>
          <w:p w14:paraId="01901690" w14:textId="70BE01D9" w:rsidR="0095580E" w:rsidRPr="009430CE" w:rsidRDefault="0095580E" w:rsidP="00652A3B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30C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wykluczenie współwystępowania chorób o istotnym klinicznie znaczeniu </w:t>
            </w:r>
            <w:r w:rsidR="00E71EF1" w:rsidRPr="00C65B7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(w tym innych nowotworów złośliwych)</w:t>
            </w:r>
            <w:r w:rsidR="00E71EF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430C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bez możliwości kontroli za pomocą właściwego leczenia;</w:t>
            </w:r>
          </w:p>
          <w:p w14:paraId="6268908B" w14:textId="77777777" w:rsidR="0095580E" w:rsidRPr="009430CE" w:rsidRDefault="0095580E" w:rsidP="00652A3B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30C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nieobecność aktywnych przerzutów w ośrodkowym układzie nerwowym (dopuszczalne wcześniejsze wycięcie przerzutów lub stereotaktyczna radioterapia, o ile po leczeniu utrzymuje się stan bezobjawowy);</w:t>
            </w:r>
          </w:p>
          <w:p w14:paraId="180E94C7" w14:textId="77777777" w:rsidR="0095580E" w:rsidRPr="009430CE" w:rsidRDefault="0095580E" w:rsidP="00652A3B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30C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nieobecność aktywnych chorób autoimmunologicznych z wyłączeniem cukrzycy typu I, niedoczynności tarczycy w trakcie suplementacji hormonalnej, łuszczycy i bielactwa;</w:t>
            </w:r>
          </w:p>
          <w:p w14:paraId="33A0C398" w14:textId="77777777" w:rsidR="0095580E" w:rsidRPr="009430CE" w:rsidRDefault="0095580E" w:rsidP="00652A3B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430C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wykluczenie ciąży lub karmienia piersią;</w:t>
            </w:r>
          </w:p>
          <w:p w14:paraId="705889B6" w14:textId="77777777" w:rsidR="0095580E" w:rsidRDefault="0095580E" w:rsidP="00652A3B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580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adekwatna wydolność narządowa określona na podstawie wyników badań laboratoryjnych umożliwiająca w opinii lekarza prowadzącego bezpieczne rozpoczęcie terapii;</w:t>
            </w:r>
          </w:p>
          <w:p w14:paraId="17A3C22E" w14:textId="68E33AED" w:rsidR="0095580E" w:rsidRDefault="0095580E" w:rsidP="00652A3B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580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brak przeciwwskazań do stosowania każdego z leków zgodnie z aktualną Charakterystyką Produktu Leczniczego (ChPL). </w:t>
            </w:r>
          </w:p>
          <w:p w14:paraId="3896EADA" w14:textId="77777777" w:rsidR="0095580E" w:rsidRPr="0095580E" w:rsidRDefault="0095580E" w:rsidP="00652A3B">
            <w:pPr>
              <w:pStyle w:val="Akapitzlist"/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05D0A06" w14:textId="77777777" w:rsidR="0095580E" w:rsidRPr="00FF02C4" w:rsidRDefault="0095580E" w:rsidP="00652A3B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F02C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Kryteria kwalifikacji muszą być spełnione łącznie.</w:t>
            </w:r>
          </w:p>
          <w:p w14:paraId="3EDCCF70" w14:textId="77777777" w:rsidR="005E4C6E" w:rsidRPr="00E11B4F" w:rsidRDefault="005E4C6E" w:rsidP="00652A3B">
            <w:pPr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80ED587" w14:textId="5FE3D421" w:rsidR="005E4C6E" w:rsidRPr="00E11B4F" w:rsidRDefault="005E4C6E" w:rsidP="00652A3B">
            <w:pPr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11B4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Ponadto do programu lekowego kwalifikowani są również pacjenci wymagający kontynuacji leczenia, którzy byli leczeni w ramach innego sposobu finansowania terapii, </w:t>
            </w:r>
            <w:r w:rsidR="004A2806" w:rsidRPr="00E11B4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z wyjątkiem</w:t>
            </w:r>
            <w:r w:rsidRPr="00E11B4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trwających badań klinicznych, pod warunkiem, że w chwili rozpoczęcia leczenia spełniali kryteria kwalifikacji do programu lekowego.</w:t>
            </w:r>
          </w:p>
          <w:p w14:paraId="2C226DB7" w14:textId="77777777" w:rsidR="005E4C6E" w:rsidRPr="00E11B4F" w:rsidRDefault="005E4C6E" w:rsidP="00652A3B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3FD7DEDF" w14:textId="77777777" w:rsidR="005E4C6E" w:rsidRPr="00342D10" w:rsidRDefault="005E4C6E" w:rsidP="00652A3B">
            <w:pPr>
              <w:numPr>
                <w:ilvl w:val="1"/>
                <w:numId w:val="14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342D10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Określenie czasu leczenia w programie</w:t>
            </w:r>
          </w:p>
          <w:p w14:paraId="578DDF3C" w14:textId="1C4D1F6D" w:rsidR="005E4C6E" w:rsidRDefault="005E4C6E" w:rsidP="00652A3B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42D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Leczenie trwa</w:t>
            </w:r>
            <w:r w:rsidR="000E1CE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maksymalnie 24 miesiące lub</w:t>
            </w:r>
            <w:r w:rsidRPr="00342D1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do podjęcia przez lekarza prowadzącego decyzji o wyłączeniu świadczeniobiorcy z programu, zgodnie z kryteriami wyłączenia z programu.</w:t>
            </w:r>
          </w:p>
          <w:p w14:paraId="78B9F2E9" w14:textId="77777777" w:rsidR="005E4C6E" w:rsidRPr="00E11B4F" w:rsidRDefault="005E4C6E" w:rsidP="00652A3B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10A8C6FD" w14:textId="77777777" w:rsidR="005E4C6E" w:rsidRPr="00E11B4F" w:rsidRDefault="005E4C6E" w:rsidP="00652A3B">
            <w:pPr>
              <w:numPr>
                <w:ilvl w:val="1"/>
                <w:numId w:val="14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E11B4F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Kryteria wyłączenia z programu</w:t>
            </w:r>
          </w:p>
          <w:p w14:paraId="35E69294" w14:textId="55BB6014" w:rsidR="005E4C6E" w:rsidRPr="005B535A" w:rsidRDefault="005E4C6E" w:rsidP="00652A3B">
            <w:pPr>
              <w:numPr>
                <w:ilvl w:val="3"/>
                <w:numId w:val="14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11B4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progresja choroby oceniona na podstawie obecnie obowiązujących kryteriów klasyfikacji RECIST</w:t>
            </w:r>
            <w:r w:rsidR="005B53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="005B535A" w:rsidRPr="004A280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która w razie potrzeby powinna być potwierdzona na podstawie kolejnej oceny badaniem obrazowym wykonanym nie wcześniej niż po upływie 4 </w:t>
            </w:r>
            <w:r w:rsidR="005B535A" w:rsidRPr="005B53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tygodni;</w:t>
            </w:r>
          </w:p>
          <w:p w14:paraId="69921A38" w14:textId="01618003" w:rsidR="005E4C6E" w:rsidRPr="00E11B4F" w:rsidRDefault="009430CE" w:rsidP="00652A3B">
            <w:pPr>
              <w:numPr>
                <w:ilvl w:val="3"/>
                <w:numId w:val="14"/>
              </w:numPr>
              <w:suppressAutoHyphens/>
              <w:spacing w:after="60"/>
              <w:jc w:val="both"/>
              <w:rPr>
                <w:rFonts w:ascii="Times New Roman" w:eastAsia="PMingLiU" w:hAnsi="Times New Roman"/>
                <w:bCs/>
                <w:sz w:val="20"/>
                <w:szCs w:val="20"/>
              </w:rPr>
            </w:pPr>
            <w:r w:rsidRPr="00FF02C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wystąpienie klinicznie istotnej toksyczności leczenia w stopniu 3 lub 4 według kryteriów CTC zgodnie z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ChPL</w:t>
            </w:r>
            <w:r w:rsidR="005E4C6E" w:rsidRPr="00E11B4F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2504CA1C" w14:textId="77777777" w:rsidR="005E4C6E" w:rsidRPr="00E11B4F" w:rsidRDefault="005E4C6E" w:rsidP="00652A3B">
            <w:pPr>
              <w:numPr>
                <w:ilvl w:val="3"/>
                <w:numId w:val="14"/>
              </w:numPr>
              <w:suppressAutoHyphens/>
              <w:spacing w:after="60"/>
              <w:jc w:val="both"/>
              <w:rPr>
                <w:rFonts w:ascii="Times New Roman" w:eastAsia="PMingLiU" w:hAnsi="Times New Roman"/>
                <w:bCs/>
                <w:sz w:val="20"/>
                <w:szCs w:val="20"/>
              </w:rPr>
            </w:pPr>
            <w:r w:rsidRPr="00E11B4F">
              <w:rPr>
                <w:rFonts w:ascii="Times New Roman" w:eastAsia="PMingLiU" w:hAnsi="Times New Roman"/>
                <w:bCs/>
                <w:sz w:val="20"/>
                <w:szCs w:val="20"/>
              </w:rPr>
              <w:t>wystąpienie objawów nadwrażliwości na którąkolwiek substancję czynną lub substancję pomocniczą;</w:t>
            </w:r>
          </w:p>
          <w:p w14:paraId="43CA6000" w14:textId="77777777" w:rsidR="005E4C6E" w:rsidRPr="00E11B4F" w:rsidRDefault="005E4C6E" w:rsidP="00652A3B">
            <w:pPr>
              <w:numPr>
                <w:ilvl w:val="3"/>
                <w:numId w:val="14"/>
              </w:numPr>
              <w:suppressAutoHyphens/>
              <w:spacing w:after="60"/>
              <w:jc w:val="both"/>
              <w:rPr>
                <w:rFonts w:ascii="Times New Roman" w:eastAsia="PMingLiU" w:hAnsi="Times New Roman"/>
                <w:bCs/>
                <w:sz w:val="20"/>
                <w:szCs w:val="20"/>
              </w:rPr>
            </w:pPr>
            <w:r w:rsidRPr="00E11B4F">
              <w:rPr>
                <w:rFonts w:ascii="Times New Roman" w:eastAsia="PMingLiU" w:hAnsi="Times New Roman"/>
                <w:bCs/>
                <w:sz w:val="20"/>
                <w:szCs w:val="20"/>
              </w:rPr>
              <w:t>wystąpienie chorób lub stanów, które w opinii lekarza prowadzącego uniemożliwiają dalsze prowadzenie leczenia;</w:t>
            </w:r>
          </w:p>
          <w:p w14:paraId="39305ABE" w14:textId="77777777" w:rsidR="00E373B2" w:rsidRDefault="005E4C6E" w:rsidP="00652A3B">
            <w:pPr>
              <w:numPr>
                <w:ilvl w:val="3"/>
                <w:numId w:val="14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11B4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kobiety w wieku rozrodczym, które nie chcą lub nie są w stanie stosować dopuszczalnej metody antykoncepcji w celu uniknięcia ciąży przez cały okres leczenia oraz przez 120 dni po jego zakończeniu;</w:t>
            </w:r>
          </w:p>
          <w:p w14:paraId="301D49A7" w14:textId="77777777" w:rsidR="009430CE" w:rsidRDefault="005E4C6E" w:rsidP="00652A3B">
            <w:pPr>
              <w:numPr>
                <w:ilvl w:val="3"/>
                <w:numId w:val="14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373B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kobiety w ciąży lub karmiące piersią</w:t>
            </w:r>
            <w:r w:rsidR="009430C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</w:t>
            </w:r>
          </w:p>
          <w:p w14:paraId="69BF75A0" w14:textId="77777777" w:rsidR="009430CE" w:rsidRDefault="009430CE" w:rsidP="00652A3B">
            <w:pPr>
              <w:numPr>
                <w:ilvl w:val="3"/>
                <w:numId w:val="14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A113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brak współpracy lub nieprzestrzeganie zaleceń lekarskich, w tym zwłaszcza dotyczących okresowych badań kontrolnych oceniających skuteczność i bezpieczeństwo leczenia ze strony świadczeniobiorcy</w:t>
            </w:r>
            <w:r w:rsidR="005E4C6E" w:rsidRPr="00E373B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4E97A426" w14:textId="728775DF" w:rsidR="00EE4BEC" w:rsidRPr="009430CE" w:rsidRDefault="00EE4BEC" w:rsidP="00EE4BE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8BCC87" w14:textId="4C22B88B" w:rsidR="00A56DCE" w:rsidRPr="00E11B4F" w:rsidRDefault="0095580E" w:rsidP="00EE4BEC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382A1B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>Toripalimab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w leczeniu </w:t>
            </w:r>
            <w:r w:rsidRPr="00BA315E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raka jamy nosowo-gardłowej</w:t>
            </w:r>
          </w:p>
          <w:p w14:paraId="048D9A41" w14:textId="77777777" w:rsidR="005E4C6E" w:rsidRDefault="004D6048" w:rsidP="00EE4BE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D6048">
              <w:rPr>
                <w:rFonts w:ascii="Times New Roman" w:hAnsi="Times New Roman"/>
                <w:bCs/>
                <w:sz w:val="20"/>
                <w:szCs w:val="20"/>
              </w:rPr>
              <w:t>Dawkowanie oraz kryteria i sposób modyfikacji dawkowania (w tym okresowe wstrzymanie leczenia) prowadzone jest zgodnie z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4D6048">
              <w:rPr>
                <w:rFonts w:ascii="Times New Roman" w:hAnsi="Times New Roman"/>
                <w:bCs/>
                <w:sz w:val="20"/>
                <w:szCs w:val="20"/>
              </w:rPr>
              <w:t>ChPL</w:t>
            </w:r>
          </w:p>
          <w:p w14:paraId="4BE5AF21" w14:textId="77777777" w:rsidR="0095580E" w:rsidRDefault="0095580E" w:rsidP="00EE4BE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457C62E0" w14:textId="2CAFC5B9" w:rsidR="0095580E" w:rsidRPr="00FF02C4" w:rsidRDefault="0095580E" w:rsidP="00EE4BE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F02C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240 mg </w:t>
            </w:r>
            <w:proofErr w:type="spellStart"/>
            <w:r w:rsidRPr="0095580E"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toripalimabu</w:t>
            </w:r>
            <w:proofErr w:type="spellEnd"/>
            <w:r w:rsidRPr="00FF02C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podawane w postaci infuzji dożylnej w 1. dniu cyklu w skojarzeniu </w:t>
            </w:r>
            <w:r w:rsidR="00382A1B" w:rsidRPr="00FF02C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z </w:t>
            </w:r>
            <w:proofErr w:type="spellStart"/>
            <w:r w:rsidR="00382A1B" w:rsidRPr="00382A1B"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lastRenderedPageBreak/>
              <w:t>cisplatyną</w:t>
            </w:r>
            <w:proofErr w:type="spellEnd"/>
            <w:r w:rsidRPr="00FF02C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w dawce 80 mg/m</w:t>
            </w:r>
            <w:r w:rsidR="00382A1B" w:rsidRPr="00FF02C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="00382A1B" w:rsidRPr="00FF02C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powierzchni</w:t>
            </w:r>
            <w:r w:rsidRPr="00FF02C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ciała 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FF02C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p.c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.)</w:t>
            </w:r>
            <w:r w:rsidRPr="00FF02C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 w 1. dniu cyklu oraz </w:t>
            </w:r>
            <w:r w:rsidRPr="00382A1B"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gemcytabiną</w:t>
            </w:r>
            <w:r w:rsidRPr="00FF02C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w dawce 1 000 mg/m</w:t>
            </w:r>
            <w:r w:rsidRPr="00FF02C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vertAlign w:val="superscript"/>
              </w:rPr>
              <w:t xml:space="preserve">2 </w:t>
            </w:r>
            <w:proofErr w:type="spellStart"/>
            <w:r w:rsidRPr="00FF02C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p.c</w:t>
            </w:r>
            <w:proofErr w:type="spellEnd"/>
            <w:r w:rsidRPr="00FF02C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.  podawaną w 1. i 8. dniu cyklu.</w:t>
            </w:r>
          </w:p>
          <w:p w14:paraId="4FE9F5B4" w14:textId="77777777" w:rsidR="0095580E" w:rsidRPr="00FF02C4" w:rsidRDefault="0095580E" w:rsidP="00EE4BE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F02C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Cykle leczenia podawane są co 21 dni (3 tygodnie). Należy podać maksymalną, tj. 6 liczbę cykli, a następnie </w:t>
            </w:r>
            <w:proofErr w:type="spellStart"/>
            <w:r w:rsidRPr="00382A1B"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toripalimab</w:t>
            </w:r>
            <w:proofErr w:type="spellEnd"/>
            <w:r w:rsidRPr="00FF02C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w dawce 240 mg raz na 3 tygodnie - w monoterapii. </w:t>
            </w:r>
          </w:p>
          <w:p w14:paraId="5D83DB6C" w14:textId="77777777" w:rsidR="0095580E" w:rsidRPr="00FF02C4" w:rsidRDefault="0095580E" w:rsidP="00EE4BE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A813107" w14:textId="6F7273B3" w:rsidR="0095580E" w:rsidRPr="003553D7" w:rsidRDefault="0095580E" w:rsidP="00EE4BE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B71AB">
              <w:rPr>
                <w:rFonts w:ascii="Times New Roman" w:hAnsi="Times New Roman"/>
                <w:sz w:val="20"/>
                <w:szCs w:val="20"/>
              </w:rPr>
              <w:t>Dopuszcza się</w:t>
            </w:r>
            <w:r w:rsidRPr="000B71AB">
              <w:t xml:space="preserve"> </w:t>
            </w:r>
            <w:r w:rsidRPr="000B71AB">
              <w:rPr>
                <w:rFonts w:ascii="Times New Roman" w:hAnsi="Times New Roman"/>
                <w:sz w:val="20"/>
                <w:szCs w:val="20"/>
              </w:rPr>
              <w:t xml:space="preserve">maksymalną przerwę w terapii </w:t>
            </w:r>
            <w:proofErr w:type="spellStart"/>
            <w:r w:rsidRPr="00382A1B">
              <w:rPr>
                <w:rFonts w:ascii="Times New Roman" w:hAnsi="Times New Roman"/>
                <w:i/>
                <w:iCs/>
                <w:sz w:val="20"/>
                <w:szCs w:val="20"/>
              </w:rPr>
              <w:t>toripalimabem</w:t>
            </w:r>
            <w:proofErr w:type="spellEnd"/>
            <w:r w:rsidRPr="000B71AB">
              <w:rPr>
                <w:rFonts w:ascii="Times New Roman" w:hAnsi="Times New Roman"/>
                <w:sz w:val="20"/>
                <w:szCs w:val="20"/>
              </w:rPr>
              <w:t xml:space="preserve"> wynoszącą 12 tygodni.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5F252F" w14:textId="0588CFB8" w:rsidR="005557A6" w:rsidRPr="00E11B4F" w:rsidRDefault="004A2806" w:rsidP="002B5084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20"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382A1B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>Toripalimab</w:t>
            </w:r>
            <w:proofErr w:type="spellEnd"/>
            <w:r w:rsidR="005557A6" w:rsidRPr="00E11B4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w leczeniu raka jamy nosowo-gardłowej</w:t>
            </w:r>
          </w:p>
          <w:p w14:paraId="5D222821" w14:textId="6BD92667" w:rsidR="005557A6" w:rsidRPr="00E11B4F" w:rsidRDefault="005557A6" w:rsidP="00EE4BEC">
            <w:pPr>
              <w:numPr>
                <w:ilvl w:val="1"/>
                <w:numId w:val="17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11B4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Badania przy kwalifikacji do leczenia</w:t>
            </w:r>
          </w:p>
          <w:p w14:paraId="7809CD54" w14:textId="04A32EA4" w:rsidR="00382A1B" w:rsidRPr="00382A1B" w:rsidRDefault="00382A1B" w:rsidP="00EE4BEC">
            <w:pPr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82A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badanie podmiotowe i przedmiotowe;</w:t>
            </w:r>
          </w:p>
          <w:p w14:paraId="2B1706BA" w14:textId="77777777" w:rsidR="00382A1B" w:rsidRPr="00382A1B" w:rsidRDefault="00382A1B" w:rsidP="00EE4BEC">
            <w:pPr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82A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ocena sprawności w skali ECOG;</w:t>
            </w:r>
          </w:p>
          <w:p w14:paraId="2D69E71C" w14:textId="0340F6C4" w:rsidR="00382A1B" w:rsidRPr="00382A1B" w:rsidRDefault="00382A1B" w:rsidP="00EE4BEC">
            <w:pPr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82A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pomiar masy ciała;</w:t>
            </w:r>
          </w:p>
          <w:p w14:paraId="52D3F955" w14:textId="77777777" w:rsidR="00382A1B" w:rsidRPr="00382A1B" w:rsidRDefault="00382A1B" w:rsidP="00EE4BEC">
            <w:pPr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82A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badania laboratoryjne:</w:t>
            </w:r>
          </w:p>
          <w:p w14:paraId="56BCCA1D" w14:textId="77777777" w:rsidR="00382A1B" w:rsidRDefault="00382A1B" w:rsidP="00EE4BEC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60"/>
              <w:ind w:left="681" w:hanging="227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82A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morfologia krwi,</w:t>
            </w:r>
          </w:p>
          <w:p w14:paraId="7E20A825" w14:textId="77777777" w:rsidR="00382A1B" w:rsidRDefault="00382A1B" w:rsidP="00EE4BEC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60"/>
              <w:ind w:left="681" w:hanging="227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82A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oznaczenie stężenia kreatyniny,</w:t>
            </w:r>
          </w:p>
          <w:p w14:paraId="78571B09" w14:textId="77777777" w:rsidR="00382A1B" w:rsidRDefault="00382A1B" w:rsidP="00EE4BEC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60"/>
              <w:ind w:left="681" w:hanging="227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82A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oznaczanie stężenia glukozy,</w:t>
            </w:r>
          </w:p>
          <w:p w14:paraId="1C385C61" w14:textId="77777777" w:rsidR="00382A1B" w:rsidRDefault="00382A1B" w:rsidP="00EE4BEC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60"/>
              <w:ind w:left="681" w:hanging="227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82A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oznaczenie stężenia bilirubiny całkowitej,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382A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oznaczenie aktywności aminotransferazy alaninowej i </w:t>
            </w:r>
            <w:proofErr w:type="spellStart"/>
            <w:r w:rsidRPr="00382A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asparaginianowej</w:t>
            </w:r>
            <w:proofErr w:type="spellEnd"/>
            <w:r w:rsidRPr="00382A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,</w:t>
            </w:r>
          </w:p>
          <w:p w14:paraId="2CED6644" w14:textId="77777777" w:rsidR="00382A1B" w:rsidRDefault="00382A1B" w:rsidP="00EE4BEC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60"/>
              <w:ind w:left="681" w:hanging="227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82A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oznaczenie poziomu sodu, wapnia, potasu,</w:t>
            </w:r>
          </w:p>
          <w:p w14:paraId="4A048198" w14:textId="29FC77A3" w:rsidR="00382A1B" w:rsidRDefault="00382A1B" w:rsidP="00EE4BEC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60"/>
              <w:ind w:left="681" w:hanging="227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82A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oznaczenie poziomu TSH,</w:t>
            </w:r>
            <w:r w:rsidR="00C65B7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65B7D" w:rsidRPr="0098612B">
              <w:rPr>
                <w:rFonts w:ascii="Times New Roman" w:hAnsi="Times New Roman"/>
                <w:bCs/>
                <w:sz w:val="20"/>
                <w:szCs w:val="20"/>
              </w:rPr>
              <w:t>FT3 i FT4,</w:t>
            </w:r>
          </w:p>
          <w:p w14:paraId="7C54E2EE" w14:textId="14049F04" w:rsidR="00382A1B" w:rsidRPr="00382A1B" w:rsidRDefault="00382A1B" w:rsidP="00EE4BEC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60"/>
              <w:ind w:left="681" w:hanging="227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82A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test ciążowy u kobiet w wieku prokreacyjnym;</w:t>
            </w:r>
          </w:p>
          <w:p w14:paraId="5F92CC14" w14:textId="0089EC90" w:rsidR="00382A1B" w:rsidRDefault="00382A1B" w:rsidP="00EE4BEC">
            <w:pPr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82A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badanie obrazowe – obligatoryjne – umożliwiające rozpoznanie miejscowego nawrotu lub uogólnienia płaskonabłonkowego raka </w:t>
            </w:r>
            <w:proofErr w:type="spellStart"/>
            <w:r w:rsidRPr="00382A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nosogardła</w:t>
            </w:r>
            <w:proofErr w:type="spellEnd"/>
            <w:r w:rsidRPr="00382A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– TK</w:t>
            </w:r>
            <w:r w:rsidR="008C69C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lub</w:t>
            </w:r>
            <w:r w:rsidR="00C65B7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C65B7D" w:rsidRPr="0098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MRI</w:t>
            </w:r>
            <w:r w:rsidRPr="00382A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lub inne, jeżeli wymaga tego stan kliniczny pacjenta.</w:t>
            </w:r>
          </w:p>
          <w:p w14:paraId="6D592B44" w14:textId="77777777" w:rsidR="00382A1B" w:rsidRPr="00382A1B" w:rsidRDefault="00382A1B" w:rsidP="00EE4BEC">
            <w:pPr>
              <w:autoSpaceDE w:val="0"/>
              <w:autoSpaceDN w:val="0"/>
              <w:adjustRightInd w:val="0"/>
              <w:spacing w:after="60"/>
              <w:ind w:left="454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491B9EA" w14:textId="77777777" w:rsidR="005557A6" w:rsidRPr="00E11B4F" w:rsidRDefault="005557A6" w:rsidP="00EE4BEC">
            <w:pPr>
              <w:numPr>
                <w:ilvl w:val="1"/>
                <w:numId w:val="17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11B4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Monitorowanie bezpieczeństwa leczenia</w:t>
            </w:r>
          </w:p>
          <w:p w14:paraId="12D4BECF" w14:textId="77777777" w:rsidR="00382A1B" w:rsidRDefault="00382A1B" w:rsidP="00EE4BEC">
            <w:pPr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82A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badanie podmiotowe i przedmiotowe;</w:t>
            </w:r>
          </w:p>
          <w:p w14:paraId="4D35F2A6" w14:textId="77777777" w:rsidR="00382A1B" w:rsidRDefault="00382A1B" w:rsidP="00EE4BEC">
            <w:pPr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82A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morfologia krwi;</w:t>
            </w:r>
          </w:p>
          <w:p w14:paraId="12F8B507" w14:textId="4A20E9D5" w:rsidR="00382A1B" w:rsidRDefault="00382A1B" w:rsidP="00EE4BEC">
            <w:pPr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82A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wskaźniki biochemiczne: oznaczenie stężenia kreatyniny, glukozy, bilirubiny całkowitej, sodu, potasu, wapnia, </w:t>
            </w:r>
            <w:proofErr w:type="spellStart"/>
            <w:r w:rsidRPr="00382A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aminotransferaz</w:t>
            </w:r>
            <w:proofErr w:type="spellEnd"/>
            <w:r w:rsidRPr="00382A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, TSH</w:t>
            </w:r>
            <w:r w:rsidR="0098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, FT3, FT4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;</w:t>
            </w:r>
          </w:p>
          <w:p w14:paraId="34C93BDE" w14:textId="7BE12A62" w:rsidR="00382A1B" w:rsidRPr="00C65B7D" w:rsidRDefault="00382A1B" w:rsidP="00EE4BEC">
            <w:pPr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ocena częstości występowania oraz ciężkości </w:t>
            </w:r>
            <w:r w:rsidRPr="00FF02C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działa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ń</w:t>
            </w:r>
            <w:r w:rsidRPr="00FF02C4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niepożądan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ych</w:t>
            </w:r>
            <w:r w:rsidR="00DD105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(w </w:t>
            </w:r>
            <w:r w:rsidR="00DD105B" w:rsidRPr="00DD105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elektronicznym systemie monitorowania programów lekowych</w:t>
            </w:r>
            <w:r w:rsidR="00DD105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należy odnotowywać wszystkie przypadki wystąpienia działań niepożądanych, które uniemożliwiają dalszą kontynuację terapii </w:t>
            </w:r>
            <w:proofErr w:type="spellStart"/>
            <w:r w:rsidR="00DD105B" w:rsidRPr="00DD105B"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szCs w:val="20"/>
              </w:rPr>
              <w:t>toripalimabem</w:t>
            </w:r>
            <w:proofErr w:type="spellEnd"/>
            <w:r w:rsidR="00E71EF1">
              <w:t xml:space="preserve"> </w:t>
            </w:r>
            <w:r w:rsidR="00E71EF1" w:rsidRPr="00E71EF1">
              <w:t xml:space="preserve">- </w:t>
            </w:r>
            <w:r w:rsidR="00E71EF1" w:rsidRPr="00C65B7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nie dotyczy czasowego wstrzymania terapii zgodnie z ChPL</w:t>
            </w:r>
            <w:r w:rsidR="00DD105B" w:rsidRPr="00C65B7D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). </w:t>
            </w:r>
          </w:p>
          <w:p w14:paraId="5AA0C6B8" w14:textId="77777777" w:rsidR="00382A1B" w:rsidRPr="00382A1B" w:rsidRDefault="00382A1B" w:rsidP="00EE4BEC">
            <w:pPr>
              <w:pStyle w:val="Akapitzlist"/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70A8360" w14:textId="1B79DF4B" w:rsidR="00382A1B" w:rsidRPr="0098612B" w:rsidRDefault="00C65B7D" w:rsidP="0098612B">
            <w:pPr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8612B">
              <w:rPr>
                <w:rFonts w:ascii="Times New Roman" w:hAnsi="Times New Roman"/>
                <w:bCs/>
                <w:sz w:val="20"/>
                <w:szCs w:val="20"/>
              </w:rPr>
              <w:t xml:space="preserve">Badania należy wykonywać co 3 tygodnie w okresie podawania chemioterapii oraz co 6 tygodni lub częściej </w:t>
            </w:r>
            <w:r w:rsidR="0098612B"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 w:rsidR="0098612B" w:rsidRPr="0098612B">
              <w:rPr>
                <w:rFonts w:ascii="Times New Roman" w:hAnsi="Times New Roman"/>
                <w:bCs/>
                <w:sz w:val="20"/>
                <w:szCs w:val="20"/>
              </w:rPr>
              <w:t>w zależności od sytuacji klinicznej</w:t>
            </w:r>
            <w:r w:rsidR="0098612B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="0098612B" w:rsidRPr="0098612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98612B">
              <w:rPr>
                <w:rFonts w:ascii="Times New Roman" w:hAnsi="Times New Roman"/>
                <w:bCs/>
                <w:sz w:val="20"/>
                <w:szCs w:val="20"/>
              </w:rPr>
              <w:t xml:space="preserve">w okresie wyłącznej immunoterapii. </w:t>
            </w:r>
          </w:p>
          <w:p w14:paraId="56DCDBA0" w14:textId="77777777" w:rsidR="005557A6" w:rsidRPr="00E11B4F" w:rsidRDefault="005557A6" w:rsidP="00EE4BEC">
            <w:pPr>
              <w:autoSpaceDE w:val="0"/>
              <w:autoSpaceDN w:val="0"/>
              <w:adjustRightInd w:val="0"/>
              <w:spacing w:after="60"/>
              <w:ind w:left="454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1E274B8" w14:textId="77777777" w:rsidR="005557A6" w:rsidRPr="00E11B4F" w:rsidRDefault="005557A6" w:rsidP="00EE4BEC">
            <w:pPr>
              <w:numPr>
                <w:ilvl w:val="1"/>
                <w:numId w:val="17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11B4F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Monitorowanie skuteczności leczenia</w:t>
            </w:r>
          </w:p>
          <w:p w14:paraId="0336A182" w14:textId="13DFD4B4" w:rsidR="00177D42" w:rsidRPr="00177D42" w:rsidRDefault="00177D42" w:rsidP="00EE4BEC">
            <w:pPr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77D4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badanie </w:t>
            </w:r>
            <w:r w:rsidR="0002189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podmiotowe i </w:t>
            </w:r>
            <w:r w:rsidRPr="00177D4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przedmiotowe;</w:t>
            </w:r>
          </w:p>
          <w:p w14:paraId="61DEB5D1" w14:textId="21DB2879" w:rsidR="00177D42" w:rsidRPr="00177D42" w:rsidRDefault="00177D42" w:rsidP="00EE4BEC">
            <w:pPr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77D4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badania laboratoryjne;</w:t>
            </w:r>
          </w:p>
          <w:p w14:paraId="37F1F89B" w14:textId="1CA42C53" w:rsidR="00177D42" w:rsidRPr="00177D42" w:rsidRDefault="00177D42" w:rsidP="00EE4BEC">
            <w:pPr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77D4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badanie obrazowe – obligatoryjne – umożliwiające ocenę odpowiedzi na leczenie według aktualnych kryteriów RECIST – TK </w:t>
            </w:r>
            <w:r w:rsidRPr="0098612B">
              <w:rPr>
                <w:rFonts w:ascii="Times New Roman" w:hAnsi="Times New Roman"/>
                <w:bCs/>
                <w:sz w:val="20"/>
                <w:szCs w:val="20"/>
              </w:rPr>
              <w:t xml:space="preserve">lub </w:t>
            </w:r>
            <w:r w:rsidR="008C69C7" w:rsidRPr="0098612B">
              <w:rPr>
                <w:rFonts w:ascii="Times New Roman" w:hAnsi="Times New Roman"/>
                <w:bCs/>
                <w:sz w:val="20"/>
                <w:szCs w:val="20"/>
              </w:rPr>
              <w:t xml:space="preserve">MRI </w:t>
            </w:r>
            <w:r w:rsidR="008C69C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lub </w:t>
            </w:r>
            <w:r w:rsidRPr="00177D4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inne, jeżeli wymaga tego stan kliniczny pacjenta.</w:t>
            </w:r>
          </w:p>
          <w:p w14:paraId="4D8A869A" w14:textId="77777777" w:rsidR="00177D42" w:rsidRDefault="00177D42" w:rsidP="00EE4BE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177D4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Badania należy wykonywać co 12 tygodni lub częściej w zależności od sytuacji klinicznej.</w:t>
            </w:r>
          </w:p>
          <w:p w14:paraId="438647B1" w14:textId="77777777" w:rsidR="005557A6" w:rsidRPr="00E11B4F" w:rsidRDefault="005557A6" w:rsidP="00EE4BE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11B4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 podstawie ww. badań w celu monitorowania skuteczności leczenia przekazywane są dane dotyczące wybranych wskaźników skuteczności terapii, dla których jest możliwe ich określenie przez lekarza prowadzącego dla indywidualnego pacjenta, spośród:</w:t>
            </w:r>
          </w:p>
          <w:p w14:paraId="117938B4" w14:textId="48DFFC85" w:rsidR="005557A6" w:rsidRPr="00E11B4F" w:rsidRDefault="00382A1B" w:rsidP="00EE4BEC">
            <w:pPr>
              <w:numPr>
                <w:ilvl w:val="5"/>
                <w:numId w:val="16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</w:t>
            </w:r>
            <w:r w:rsidRPr="00382A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gólny wskaźnik odpowiedzi (ORR)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: </w:t>
            </w:r>
            <w:r w:rsidR="005557A6" w:rsidRPr="00E11B4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całkowita (CR) lub częściowa odpowiedź (PR) na leczenie,</w:t>
            </w:r>
          </w:p>
          <w:p w14:paraId="72811E57" w14:textId="77777777" w:rsidR="005557A6" w:rsidRPr="00E11B4F" w:rsidRDefault="005557A6" w:rsidP="00EE4BEC">
            <w:pPr>
              <w:numPr>
                <w:ilvl w:val="5"/>
                <w:numId w:val="16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11B4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stabilizacja (SD) lub progresja choroby (PD),</w:t>
            </w:r>
          </w:p>
          <w:p w14:paraId="6114E7D2" w14:textId="77777777" w:rsidR="00382A1B" w:rsidRDefault="005557A6" w:rsidP="00EE4BEC">
            <w:pPr>
              <w:numPr>
                <w:ilvl w:val="5"/>
                <w:numId w:val="16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11B4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całkowite przeżycie (OS) i czas do progresji (PFS)</w:t>
            </w:r>
            <w:r w:rsidR="00382A1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,</w:t>
            </w:r>
          </w:p>
          <w:p w14:paraId="5E75DE59" w14:textId="149C4958" w:rsidR="005557A6" w:rsidRPr="00E11B4F" w:rsidRDefault="00382A1B" w:rsidP="00EE4BEC">
            <w:pPr>
              <w:numPr>
                <w:ilvl w:val="5"/>
                <w:numId w:val="16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czas trwania odpowiedzi na leczenie (DOR)</w:t>
            </w:r>
            <w:r w:rsidR="005557A6" w:rsidRPr="00E11B4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14:paraId="095DB045" w14:textId="77777777" w:rsidR="00177D42" w:rsidRDefault="00177D42" w:rsidP="00EE4BE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11B4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Określenie odpowiedzi na leczenie powinno być wykonywane z wykorzystaniem metody identycznej do wykorzystanej podczas kwalifikowania do leczenia.</w:t>
            </w:r>
          </w:p>
          <w:p w14:paraId="6ADFE827" w14:textId="77777777" w:rsidR="005557A6" w:rsidRPr="00E11B4F" w:rsidRDefault="005557A6" w:rsidP="00EE4BEC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ADA089F" w14:textId="77777777" w:rsidR="005557A6" w:rsidRPr="00E11B4F" w:rsidRDefault="005557A6" w:rsidP="00EE4BE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E11B4F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Monitorowanie programu</w:t>
            </w:r>
          </w:p>
          <w:p w14:paraId="09897755" w14:textId="77777777" w:rsidR="005557A6" w:rsidRPr="00E11B4F" w:rsidRDefault="005557A6" w:rsidP="00EE4BEC">
            <w:pPr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11B4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gromadzenie w dokumentacji medycznej chorego danych dotyczących monitorowania leczenia i każdorazowe ich przedstawianie na żądanie kontrolerów Narodowego Funduszu Zdrowia;</w:t>
            </w:r>
          </w:p>
          <w:p w14:paraId="37C392E7" w14:textId="18530306" w:rsidR="003C4988" w:rsidRDefault="005557A6" w:rsidP="00EE4BEC">
            <w:pPr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11B4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 xml:space="preserve">uzupełnienie danych zawartych w elektronicznym systemie monitorowania programów lekowych, </w:t>
            </w:r>
            <w:r w:rsidR="00177D42" w:rsidRPr="00177D4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dotyczących wskaźników skuteczności terapii zawartych w pkt. </w:t>
            </w:r>
            <w:r w:rsidR="00177D4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1.</w:t>
            </w:r>
            <w:r w:rsidR="00177D42" w:rsidRPr="00177D4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3</w:t>
            </w:r>
            <w:r w:rsidR="00177D4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 w:rsidR="00DD105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oraz informacji dotyczących niemożności kontynuowania terapii w związku z wystąpieniem działań niepożądanych</w:t>
            </w:r>
            <w:r w:rsidR="00177D42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, </w:t>
            </w:r>
            <w:r w:rsidRPr="00E11B4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dostępnym za pomocą aplikacji internetowej udostępnionej przez OW NFZ, z częstotliwością zgodną z opisem programu oraz na zakończenie leczenia;</w:t>
            </w:r>
          </w:p>
          <w:p w14:paraId="3942B09C" w14:textId="4124B1BE" w:rsidR="005E4C6E" w:rsidRPr="003C4988" w:rsidRDefault="005557A6" w:rsidP="00EE4BEC">
            <w:pPr>
              <w:numPr>
                <w:ilvl w:val="3"/>
                <w:numId w:val="17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3C498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przekazywanie informacji sprawozdawczo-rozliczeniowych do NFZ: informacje przekazuje się do NFZ w formie papierowej lub w formie elektronicznej, zgodnie z wymaganiami opublikowanymi przez NFZ.</w:t>
            </w:r>
          </w:p>
        </w:tc>
      </w:tr>
    </w:tbl>
    <w:p w14:paraId="57A077C9" w14:textId="77777777" w:rsidR="00193F9C" w:rsidRPr="00B24063" w:rsidRDefault="00193F9C" w:rsidP="00AC3231">
      <w:pPr>
        <w:rPr>
          <w:color w:val="000000" w:themeColor="text1"/>
        </w:rPr>
      </w:pPr>
    </w:p>
    <w:sectPr w:rsidR="00193F9C" w:rsidRPr="00B24063" w:rsidSect="00F85273">
      <w:pgSz w:w="16838" w:h="11906" w:orient="landscape" w:code="9"/>
      <w:pgMar w:top="1588" w:right="720" w:bottom="141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75F89"/>
    <w:multiLevelType w:val="multilevel"/>
    <w:tmpl w:val="D7788ED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eastAsia="Calibri" w:hAnsi="Times New Roman" w:cs="Times New Roman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" w15:restartNumberingAfterBreak="0">
    <w:nsid w:val="0560625B"/>
    <w:multiLevelType w:val="multilevel"/>
    <w:tmpl w:val="D7788ED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eastAsia="Calibri" w:hAnsi="Times New Roman" w:cs="Times New Roman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" w15:restartNumberingAfterBreak="0">
    <w:nsid w:val="07D64CDE"/>
    <w:multiLevelType w:val="multilevel"/>
    <w:tmpl w:val="D7788ED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eastAsia="Calibri" w:hAnsi="Times New Roman" w:cs="Times New Roman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" w15:restartNumberingAfterBreak="0">
    <w:nsid w:val="08E976A8"/>
    <w:multiLevelType w:val="multilevel"/>
    <w:tmpl w:val="B11298F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" w15:restartNumberingAfterBreak="0">
    <w:nsid w:val="19FA40D1"/>
    <w:multiLevelType w:val="multilevel"/>
    <w:tmpl w:val="3C5AD98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eastAsia="Calibri" w:hAnsi="Times New Roman" w:cs="Times New Roman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" w15:restartNumberingAfterBreak="0">
    <w:nsid w:val="1D3113D4"/>
    <w:multiLevelType w:val="multilevel"/>
    <w:tmpl w:val="DB921154"/>
    <w:lvl w:ilvl="0">
      <w:start w:val="1"/>
      <w:numFmt w:val="decimal"/>
      <w:lvlText w:val="%1)"/>
      <w:lvlJc w:val="left"/>
      <w:pPr>
        <w:ind w:left="227" w:hanging="227"/>
      </w:pPr>
      <w:rPr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  <w:dstrike w:val="0"/>
        <w:u w:val="none"/>
        <w:effect w:val="none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6" w15:restartNumberingAfterBreak="0">
    <w:nsid w:val="22F954B6"/>
    <w:multiLevelType w:val="multilevel"/>
    <w:tmpl w:val="7A1E2D22"/>
    <w:lvl w:ilvl="0">
      <w:start w:val="2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strike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7" w15:restartNumberingAfterBreak="0">
    <w:nsid w:val="24EA597C"/>
    <w:multiLevelType w:val="multilevel"/>
    <w:tmpl w:val="D7788ED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eastAsia="Calibri" w:hAnsi="Times New Roman" w:cs="Times New Roman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8" w15:restartNumberingAfterBreak="0">
    <w:nsid w:val="375161A0"/>
    <w:multiLevelType w:val="multilevel"/>
    <w:tmpl w:val="3C5AD98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eastAsia="Calibri" w:hAnsi="Times New Roman" w:cs="Times New Roman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9" w15:restartNumberingAfterBreak="0">
    <w:nsid w:val="42724304"/>
    <w:multiLevelType w:val="multilevel"/>
    <w:tmpl w:val="0EA092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7E27B2E"/>
    <w:multiLevelType w:val="hybridMultilevel"/>
    <w:tmpl w:val="F86A92B8"/>
    <w:lvl w:ilvl="0" w:tplc="0ACA29B8">
      <w:start w:val="1"/>
      <w:numFmt w:val="upperLetter"/>
      <w:lvlText w:val="%1."/>
      <w:lvlJc w:val="left"/>
      <w:pPr>
        <w:ind w:left="5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9" w:hanging="360"/>
      </w:pPr>
    </w:lvl>
    <w:lvl w:ilvl="2" w:tplc="0415001B" w:tentative="1">
      <w:start w:val="1"/>
      <w:numFmt w:val="lowerRoman"/>
      <w:lvlText w:val="%3."/>
      <w:lvlJc w:val="right"/>
      <w:pPr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ind w:left="6329" w:hanging="180"/>
      </w:pPr>
    </w:lvl>
  </w:abstractNum>
  <w:abstractNum w:abstractNumId="11" w15:restartNumberingAfterBreak="0">
    <w:nsid w:val="48C60EB7"/>
    <w:multiLevelType w:val="hybridMultilevel"/>
    <w:tmpl w:val="7FE8775E"/>
    <w:lvl w:ilvl="0" w:tplc="410A98F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00AB3"/>
    <w:multiLevelType w:val="hybridMultilevel"/>
    <w:tmpl w:val="BD3ACA0A"/>
    <w:lvl w:ilvl="0" w:tplc="E83025D6">
      <w:start w:val="1"/>
      <w:numFmt w:val="lowerLetter"/>
      <w:suff w:val="space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3" w15:restartNumberingAfterBreak="0">
    <w:nsid w:val="540C0FCE"/>
    <w:multiLevelType w:val="multilevel"/>
    <w:tmpl w:val="FDCAD02E"/>
    <w:lvl w:ilvl="0">
      <w:start w:val="2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4" w15:restartNumberingAfterBreak="0">
    <w:nsid w:val="542D18C3"/>
    <w:multiLevelType w:val="multilevel"/>
    <w:tmpl w:val="BBCE5034"/>
    <w:styleLink w:val="Biecalista1"/>
    <w:lvl w:ilvl="0">
      <w:start w:val="1"/>
      <w:numFmt w:val="upperLetter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5" w15:restartNumberingAfterBreak="0">
    <w:nsid w:val="54E9283B"/>
    <w:multiLevelType w:val="multilevel"/>
    <w:tmpl w:val="13F2A76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6" w15:restartNumberingAfterBreak="0">
    <w:nsid w:val="5D7633CA"/>
    <w:multiLevelType w:val="multilevel"/>
    <w:tmpl w:val="3C5AD98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eastAsia="Calibri" w:hAnsi="Times New Roman" w:cs="Times New Roman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7" w15:restartNumberingAfterBreak="0">
    <w:nsid w:val="682939B9"/>
    <w:multiLevelType w:val="hybridMultilevel"/>
    <w:tmpl w:val="F042AD24"/>
    <w:lvl w:ilvl="0" w:tplc="BE2E84D4">
      <w:start w:val="1"/>
      <w:numFmt w:val="upp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A24A13"/>
    <w:multiLevelType w:val="hybridMultilevel"/>
    <w:tmpl w:val="E5522F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D4522"/>
    <w:multiLevelType w:val="multilevel"/>
    <w:tmpl w:val="D7788ED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eastAsia="Calibri" w:hAnsi="Times New Roman" w:cs="Times New Roman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0" w15:restartNumberingAfterBreak="0">
    <w:nsid w:val="713007A3"/>
    <w:multiLevelType w:val="multilevel"/>
    <w:tmpl w:val="D7788ED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eastAsia="Calibri" w:hAnsi="Times New Roman" w:cs="Times New Roman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1" w15:restartNumberingAfterBreak="0">
    <w:nsid w:val="7A403055"/>
    <w:multiLevelType w:val="multilevel"/>
    <w:tmpl w:val="B11298F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num w:numId="1" w16cid:durableId="327756280">
    <w:abstractNumId w:val="14"/>
  </w:num>
  <w:num w:numId="2" w16cid:durableId="1156186755">
    <w:abstractNumId w:val="21"/>
  </w:num>
  <w:num w:numId="3" w16cid:durableId="1341197034">
    <w:abstractNumId w:val="13"/>
  </w:num>
  <w:num w:numId="4" w16cid:durableId="778451016">
    <w:abstractNumId w:val="15"/>
  </w:num>
  <w:num w:numId="5" w16cid:durableId="189297468">
    <w:abstractNumId w:val="20"/>
  </w:num>
  <w:num w:numId="6" w16cid:durableId="221451804">
    <w:abstractNumId w:val="9"/>
  </w:num>
  <w:num w:numId="7" w16cid:durableId="25763374">
    <w:abstractNumId w:val="6"/>
  </w:num>
  <w:num w:numId="8" w16cid:durableId="406927452">
    <w:abstractNumId w:val="8"/>
  </w:num>
  <w:num w:numId="9" w16cid:durableId="1152603464">
    <w:abstractNumId w:val="3"/>
  </w:num>
  <w:num w:numId="10" w16cid:durableId="1400785112">
    <w:abstractNumId w:val="7"/>
  </w:num>
  <w:num w:numId="11" w16cid:durableId="89201511">
    <w:abstractNumId w:val="2"/>
  </w:num>
  <w:num w:numId="12" w16cid:durableId="1586762321">
    <w:abstractNumId w:val="0"/>
  </w:num>
  <w:num w:numId="13" w16cid:durableId="1807039206">
    <w:abstractNumId w:val="1"/>
  </w:num>
  <w:num w:numId="14" w16cid:durableId="1277250985">
    <w:abstractNumId w:val="4"/>
  </w:num>
  <w:num w:numId="15" w16cid:durableId="749353825">
    <w:abstractNumId w:val="16"/>
  </w:num>
  <w:num w:numId="16" w16cid:durableId="1286697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89211507">
    <w:abstractNumId w:val="19"/>
  </w:num>
  <w:num w:numId="18" w16cid:durableId="2115250263">
    <w:abstractNumId w:val="17"/>
  </w:num>
  <w:num w:numId="19" w16cid:durableId="701436900">
    <w:abstractNumId w:val="11"/>
  </w:num>
  <w:num w:numId="20" w16cid:durableId="1716469021">
    <w:abstractNumId w:val="12"/>
  </w:num>
  <w:num w:numId="21" w16cid:durableId="404037719">
    <w:abstractNumId w:val="18"/>
  </w:num>
  <w:num w:numId="22" w16cid:durableId="574702419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A7F"/>
    <w:rsid w:val="00006928"/>
    <w:rsid w:val="00012A25"/>
    <w:rsid w:val="00016B0A"/>
    <w:rsid w:val="00021896"/>
    <w:rsid w:val="00026B40"/>
    <w:rsid w:val="000379C2"/>
    <w:rsid w:val="000539B8"/>
    <w:rsid w:val="00064EE5"/>
    <w:rsid w:val="000864A1"/>
    <w:rsid w:val="00093C80"/>
    <w:rsid w:val="0009401B"/>
    <w:rsid w:val="000D0A50"/>
    <w:rsid w:val="000E1CEF"/>
    <w:rsid w:val="000F10E7"/>
    <w:rsid w:val="000F1BA1"/>
    <w:rsid w:val="00107192"/>
    <w:rsid w:val="00126625"/>
    <w:rsid w:val="00132C87"/>
    <w:rsid w:val="00141A1A"/>
    <w:rsid w:val="001455B5"/>
    <w:rsid w:val="00154177"/>
    <w:rsid w:val="00160EBC"/>
    <w:rsid w:val="00176878"/>
    <w:rsid w:val="00177D42"/>
    <w:rsid w:val="001831B8"/>
    <w:rsid w:val="00183D9C"/>
    <w:rsid w:val="00187D09"/>
    <w:rsid w:val="00193F9C"/>
    <w:rsid w:val="001A1E68"/>
    <w:rsid w:val="001B39BE"/>
    <w:rsid w:val="001C6FEB"/>
    <w:rsid w:val="002023AA"/>
    <w:rsid w:val="002055D2"/>
    <w:rsid w:val="0022271A"/>
    <w:rsid w:val="0024401E"/>
    <w:rsid w:val="00255D5A"/>
    <w:rsid w:val="00276803"/>
    <w:rsid w:val="00282560"/>
    <w:rsid w:val="00285A91"/>
    <w:rsid w:val="002A6209"/>
    <w:rsid w:val="002A7D69"/>
    <w:rsid w:val="002B19D6"/>
    <w:rsid w:val="002B5084"/>
    <w:rsid w:val="002B6856"/>
    <w:rsid w:val="002B7A9A"/>
    <w:rsid w:val="002C0569"/>
    <w:rsid w:val="002D7C8B"/>
    <w:rsid w:val="002E05AA"/>
    <w:rsid w:val="002E1E9D"/>
    <w:rsid w:val="003135F8"/>
    <w:rsid w:val="003409BE"/>
    <w:rsid w:val="003553D7"/>
    <w:rsid w:val="00372B39"/>
    <w:rsid w:val="00377C40"/>
    <w:rsid w:val="00382A1B"/>
    <w:rsid w:val="00390C8A"/>
    <w:rsid w:val="003A15E3"/>
    <w:rsid w:val="003A49A1"/>
    <w:rsid w:val="003A7192"/>
    <w:rsid w:val="003B4A3B"/>
    <w:rsid w:val="003C4988"/>
    <w:rsid w:val="003C7621"/>
    <w:rsid w:val="003C76E0"/>
    <w:rsid w:val="003D16E9"/>
    <w:rsid w:val="003F03CA"/>
    <w:rsid w:val="003F7D42"/>
    <w:rsid w:val="004164EF"/>
    <w:rsid w:val="00424928"/>
    <w:rsid w:val="00464D6F"/>
    <w:rsid w:val="00473CBE"/>
    <w:rsid w:val="00486708"/>
    <w:rsid w:val="00491C52"/>
    <w:rsid w:val="00496C41"/>
    <w:rsid w:val="004979BE"/>
    <w:rsid w:val="004A2806"/>
    <w:rsid w:val="004A39DE"/>
    <w:rsid w:val="004C23CE"/>
    <w:rsid w:val="004C5737"/>
    <w:rsid w:val="004C7D52"/>
    <w:rsid w:val="004D6048"/>
    <w:rsid w:val="00503D83"/>
    <w:rsid w:val="005141AA"/>
    <w:rsid w:val="005264FA"/>
    <w:rsid w:val="005557A6"/>
    <w:rsid w:val="00556857"/>
    <w:rsid w:val="00560636"/>
    <w:rsid w:val="00566DE4"/>
    <w:rsid w:val="005A3BF4"/>
    <w:rsid w:val="005B535A"/>
    <w:rsid w:val="005B7D18"/>
    <w:rsid w:val="005C519F"/>
    <w:rsid w:val="005E4C6E"/>
    <w:rsid w:val="005F49FD"/>
    <w:rsid w:val="0061263C"/>
    <w:rsid w:val="006220DB"/>
    <w:rsid w:val="0063247D"/>
    <w:rsid w:val="00651860"/>
    <w:rsid w:val="00652A3B"/>
    <w:rsid w:val="00692927"/>
    <w:rsid w:val="006C119D"/>
    <w:rsid w:val="006D64C0"/>
    <w:rsid w:val="00706E38"/>
    <w:rsid w:val="00725EAA"/>
    <w:rsid w:val="007308CA"/>
    <w:rsid w:val="00750DB8"/>
    <w:rsid w:val="00771824"/>
    <w:rsid w:val="00777AED"/>
    <w:rsid w:val="007876A0"/>
    <w:rsid w:val="007E0B35"/>
    <w:rsid w:val="008002A0"/>
    <w:rsid w:val="00802EAC"/>
    <w:rsid w:val="008052E2"/>
    <w:rsid w:val="00806EE3"/>
    <w:rsid w:val="008110AB"/>
    <w:rsid w:val="00815C45"/>
    <w:rsid w:val="008168DF"/>
    <w:rsid w:val="0084327A"/>
    <w:rsid w:val="00864A45"/>
    <w:rsid w:val="00873883"/>
    <w:rsid w:val="00882758"/>
    <w:rsid w:val="00887DF0"/>
    <w:rsid w:val="00893814"/>
    <w:rsid w:val="008C69C7"/>
    <w:rsid w:val="0090312B"/>
    <w:rsid w:val="0091118C"/>
    <w:rsid w:val="0093371B"/>
    <w:rsid w:val="00935629"/>
    <w:rsid w:val="009423B8"/>
    <w:rsid w:val="009430CE"/>
    <w:rsid w:val="00950587"/>
    <w:rsid w:val="0095580E"/>
    <w:rsid w:val="009619FE"/>
    <w:rsid w:val="00964915"/>
    <w:rsid w:val="0098612B"/>
    <w:rsid w:val="009A3D4F"/>
    <w:rsid w:val="009A726D"/>
    <w:rsid w:val="009F120F"/>
    <w:rsid w:val="00A14D99"/>
    <w:rsid w:val="00A24B30"/>
    <w:rsid w:val="00A461C1"/>
    <w:rsid w:val="00A56DCE"/>
    <w:rsid w:val="00A71DD3"/>
    <w:rsid w:val="00A93927"/>
    <w:rsid w:val="00A95D2E"/>
    <w:rsid w:val="00A9708B"/>
    <w:rsid w:val="00AB5805"/>
    <w:rsid w:val="00AC1161"/>
    <w:rsid w:val="00AC3231"/>
    <w:rsid w:val="00AD5DC3"/>
    <w:rsid w:val="00AD68CD"/>
    <w:rsid w:val="00AD718C"/>
    <w:rsid w:val="00AF0BF2"/>
    <w:rsid w:val="00B24063"/>
    <w:rsid w:val="00B44BCA"/>
    <w:rsid w:val="00B641A8"/>
    <w:rsid w:val="00B66D8E"/>
    <w:rsid w:val="00B805B2"/>
    <w:rsid w:val="00B969E5"/>
    <w:rsid w:val="00BA139B"/>
    <w:rsid w:val="00BA315E"/>
    <w:rsid w:val="00BB0ECD"/>
    <w:rsid w:val="00BF419E"/>
    <w:rsid w:val="00C0371A"/>
    <w:rsid w:val="00C22E26"/>
    <w:rsid w:val="00C22E6C"/>
    <w:rsid w:val="00C65B7D"/>
    <w:rsid w:val="00C8160E"/>
    <w:rsid w:val="00C8253E"/>
    <w:rsid w:val="00CB1988"/>
    <w:rsid w:val="00CB2E8F"/>
    <w:rsid w:val="00CB3612"/>
    <w:rsid w:val="00CB7A34"/>
    <w:rsid w:val="00CD1341"/>
    <w:rsid w:val="00CD6DAD"/>
    <w:rsid w:val="00D02C03"/>
    <w:rsid w:val="00D04C13"/>
    <w:rsid w:val="00D077A6"/>
    <w:rsid w:val="00D16602"/>
    <w:rsid w:val="00D23CED"/>
    <w:rsid w:val="00D6241B"/>
    <w:rsid w:val="00D653D3"/>
    <w:rsid w:val="00D8654C"/>
    <w:rsid w:val="00D865EB"/>
    <w:rsid w:val="00D956AD"/>
    <w:rsid w:val="00DA214C"/>
    <w:rsid w:val="00DA7FCD"/>
    <w:rsid w:val="00DB0B5D"/>
    <w:rsid w:val="00DD105B"/>
    <w:rsid w:val="00DD4AFB"/>
    <w:rsid w:val="00DD5A1B"/>
    <w:rsid w:val="00DD7941"/>
    <w:rsid w:val="00DE330B"/>
    <w:rsid w:val="00E109A2"/>
    <w:rsid w:val="00E23528"/>
    <w:rsid w:val="00E2547E"/>
    <w:rsid w:val="00E373B2"/>
    <w:rsid w:val="00E52336"/>
    <w:rsid w:val="00E5552F"/>
    <w:rsid w:val="00E6235A"/>
    <w:rsid w:val="00E71EF1"/>
    <w:rsid w:val="00E93A7F"/>
    <w:rsid w:val="00EA3250"/>
    <w:rsid w:val="00EB2CF4"/>
    <w:rsid w:val="00ED6B74"/>
    <w:rsid w:val="00EE4BEC"/>
    <w:rsid w:val="00F019C2"/>
    <w:rsid w:val="00F3307A"/>
    <w:rsid w:val="00F347F7"/>
    <w:rsid w:val="00F54944"/>
    <w:rsid w:val="00F67749"/>
    <w:rsid w:val="00F85273"/>
    <w:rsid w:val="00F97E77"/>
    <w:rsid w:val="00FB7473"/>
    <w:rsid w:val="00FC5998"/>
    <w:rsid w:val="00FC6EFE"/>
    <w:rsid w:val="00FE0985"/>
    <w:rsid w:val="00FE1968"/>
    <w:rsid w:val="00FF304D"/>
    <w:rsid w:val="00FF6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37547"/>
  <w15:docId w15:val="{98ACF7E0-DB5F-483B-8636-ADF5706B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7D4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1,Styl moj,aotm_załączniki,Akapit z listą11,Table Legend,Dot pt,F5 List Paragraph,List Paragraph1,No Spacing1,List Paragraph Char Char Char,Indicator Text,Colorful List - Accent 11,Numbered Para 1,Bullet 1,Bullet Points,MAIN CONTENT"/>
    <w:basedOn w:val="Normalny"/>
    <w:link w:val="AkapitzlistZnak"/>
    <w:uiPriority w:val="34"/>
    <w:qFormat/>
    <w:rsid w:val="00E93A7F"/>
    <w:pPr>
      <w:ind w:left="720"/>
      <w:contextualSpacing/>
    </w:pPr>
  </w:style>
  <w:style w:type="paragraph" w:customStyle="1" w:styleId="Default">
    <w:name w:val="Default"/>
    <w:rsid w:val="00E93A7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3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3612"/>
    <w:rPr>
      <w:rFonts w:ascii="Tahoma" w:eastAsia="Calibri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87388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Bullet1 Znak,Styl moj Znak,aotm_załączniki Znak,Akapit z listą11 Znak,Table Legend Znak,Dot pt Znak,F5 List Paragraph Znak,List Paragraph1 Znak,No Spacing1 Znak,List Paragraph Char Char Char Znak,Indicator Text Znak,Bullet 1 Znak"/>
    <w:basedOn w:val="Domylnaczcionkaakapitu"/>
    <w:link w:val="Akapitzlist"/>
    <w:uiPriority w:val="99"/>
    <w:rsid w:val="00F019C2"/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C0371A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D79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D794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D794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79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7941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D2EEA1036DC940BD53E6B4ADBB1256" ma:contentTypeVersion="19" ma:contentTypeDescription="Create a new document." ma:contentTypeScope="" ma:versionID="9a66b226daf129012e3c9924fc85bfaf">
  <xsd:schema xmlns:xsd="http://www.w3.org/2001/XMLSchema" xmlns:xs="http://www.w3.org/2001/XMLSchema" xmlns:p="http://schemas.microsoft.com/office/2006/metadata/properties" xmlns:ns2="0070875f-77ce-47c3-8aeb-6527c5af6385" xmlns:ns3="4dd06920-75cb-44b0-af5d-06bb78fadbb2" targetNamespace="http://schemas.microsoft.com/office/2006/metadata/properties" ma:root="true" ma:fieldsID="9d278d816436936a91aa402cfa843b60" ns2:_="" ns3:_="">
    <xsd:import namespace="0070875f-77ce-47c3-8aeb-6527c5af6385"/>
    <xsd:import namespace="4dd06920-75cb-44b0-af5d-06bb78fadbb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TestName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0875f-77ce-47c3-8aeb-6527c5af63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f7b48ec-4205-48e1-84aa-3921ffc1b933}" ma:internalName="TaxCatchAll" ma:showField="CatchAllData" ma:web="0070875f-77ce-47c3-8aeb-6527c5af63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d06920-75cb-44b0-af5d-06bb78fadb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003d8f8-0131-4872-956d-282be94aac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TestName" ma:index="25" nillable="true" ma:displayName="Test Name" ma:format="Dropdown" ma:internalName="TestName">
      <xsd:simpleType>
        <xsd:restriction base="dms:Text">
          <xsd:maxLength value="255"/>
        </xsd:restriction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d06920-75cb-44b0-af5d-06bb78fadbb2">
      <Terms xmlns="http://schemas.microsoft.com/office/infopath/2007/PartnerControls"/>
    </lcf76f155ced4ddcb4097134ff3c332f>
    <TestName xmlns="4dd06920-75cb-44b0-af5d-06bb78fadbb2" xsi:nil="true"/>
    <TaxCatchAll xmlns="0070875f-77ce-47c3-8aeb-6527c5af638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EFA641-5510-420F-8DF5-C61FD0EAF5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70875f-77ce-47c3-8aeb-6527c5af6385"/>
    <ds:schemaRef ds:uri="4dd06920-75cb-44b0-af5d-06bb78fadb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6933D7-56C2-4F0D-BD52-4E7DE20F0B74}">
  <ds:schemaRefs>
    <ds:schemaRef ds:uri="http://schemas.microsoft.com/office/2006/metadata/properties"/>
    <ds:schemaRef ds:uri="http://schemas.microsoft.com/office/infopath/2007/PartnerControls"/>
    <ds:schemaRef ds:uri="4dd06920-75cb-44b0-af5d-06bb78fadbb2"/>
    <ds:schemaRef ds:uri="0070875f-77ce-47c3-8aeb-6527c5af6385"/>
  </ds:schemaRefs>
</ds:datastoreItem>
</file>

<file path=customXml/itemProps3.xml><?xml version="1.0" encoding="utf-8"?>
<ds:datastoreItem xmlns:ds="http://schemas.openxmlformats.org/officeDocument/2006/customXml" ds:itemID="{64C8ABF3-430C-4210-AABE-3161C7A946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2631</Words>
  <Characters>15790</Characters>
  <Application>Microsoft Office Word</Application>
  <DocSecurity>0</DocSecurity>
  <Lines>131</Lines>
  <Paragraphs>36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Bonek Przemysław</dc:creator>
  <cp:keywords/>
  <dc:description/>
  <cp:lastModifiedBy>Klimkowska Katarzyna</cp:lastModifiedBy>
  <cp:revision>2</cp:revision>
  <cp:lastPrinted>2020-02-03T18:33:00Z</cp:lastPrinted>
  <dcterms:created xsi:type="dcterms:W3CDTF">2026-06-11T06:34:00Z</dcterms:created>
  <dcterms:modified xsi:type="dcterms:W3CDTF">2026-06-11T06:34:00Z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0x01010088D2EEA1036DC940BD53E6B4ADBB1256</vt:lpwstr>
  </property>
  <property fmtid="{D5CDD505-2E9C-101B-9397-08002B2CF9AE}" pid="3" name="MediaServiceImageTags">
    <vt:lpwstr/>
  </property>
</Properties>
</file>